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X="1" w:tblpY="1621"/>
        <w:tblW w:w="9040" w:type="dxa"/>
        <w:tblInd w:w="0" w:type="dxa"/>
        <w:tblLayout w:type="fixed"/>
        <w:tblCellMar>
          <w:top w:w="0" w:type="dxa"/>
          <w:left w:w="108" w:type="dxa"/>
          <w:bottom w:w="0" w:type="dxa"/>
          <w:right w:w="108" w:type="dxa"/>
        </w:tblCellMar>
      </w:tblPr>
      <w:tblGrid>
        <w:gridCol w:w="9040"/>
      </w:tblGrid>
      <w:tr>
        <w:tblPrEx>
          <w:tblCellMar>
            <w:top w:w="0" w:type="dxa"/>
            <w:left w:w="108" w:type="dxa"/>
            <w:bottom w:w="0" w:type="dxa"/>
            <w:right w:w="108" w:type="dxa"/>
          </w:tblCellMar>
        </w:tblPrEx>
        <w:trPr>
          <w:trHeight w:val="1967" w:hRule="atLeast"/>
        </w:trPr>
        <w:tc>
          <w:tcPr>
            <w:tcW w:w="9040" w:type="dxa"/>
            <w:vAlign w:val="center"/>
          </w:tcPr>
          <w:p>
            <w:pPr>
              <w:jc w:val="center"/>
              <w:rPr>
                <w:rFonts w:ascii="方正小标宋简体" w:eastAsia="方正小标宋简体"/>
                <w:color w:val="FF0000"/>
                <w:sz w:val="80"/>
                <w:szCs w:val="80"/>
              </w:rPr>
            </w:pPr>
            <w:r>
              <w:rPr>
                <w:rFonts w:hint="eastAsia" w:ascii="方正小标宋简体" w:eastAsia="方正小标宋简体"/>
                <w:color w:val="FF0000"/>
                <w:sz w:val="48"/>
              </w:rPr>
              <w:t>国家开放大学</w:t>
            </w:r>
            <w:r>
              <w:rPr>
                <w:rFonts w:hint="eastAsia" w:ascii="方正小标宋简体" w:eastAsia="方正小标宋简体"/>
                <w:color w:val="FF0000"/>
                <w:sz w:val="48"/>
                <w:lang w:val="en-US" w:eastAsia="zh-CN"/>
              </w:rPr>
              <w:t>学习贯彻习近平新时代   中国特色社会主义思想主题教育工作提示</w:t>
            </w:r>
          </w:p>
        </w:tc>
      </w:tr>
      <w:tr>
        <w:tblPrEx>
          <w:tblCellMar>
            <w:top w:w="0" w:type="dxa"/>
            <w:left w:w="108" w:type="dxa"/>
            <w:bottom w:w="0" w:type="dxa"/>
            <w:right w:w="108" w:type="dxa"/>
          </w:tblCellMar>
        </w:tblPrEx>
        <w:trPr>
          <w:trHeight w:val="1934" w:hRule="atLeast"/>
        </w:trPr>
        <w:tc>
          <w:tcPr>
            <w:tcW w:w="9040" w:type="dxa"/>
            <w:vAlign w:val="center"/>
          </w:tcPr>
          <w:p>
            <w:pPr>
              <w:spacing w:before="312" w:beforeLines="100" w:after="468" w:afterLines="150"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第1期</w:t>
            </w:r>
            <w:r>
              <w:rPr>
                <w:rFonts w:hint="eastAsia" w:ascii="仿宋_GB2312" w:hAnsi="仿宋_GB2312" w:eastAsia="仿宋_GB2312" w:cs="仿宋_GB2312"/>
                <w:sz w:val="28"/>
                <w:szCs w:val="28"/>
                <w:lang w:eastAsia="zh-CN"/>
              </w:rPr>
              <w:t>）</w:t>
            </w:r>
          </w:p>
          <w:p>
            <w:pPr>
              <w:spacing w:before="312" w:beforeLines="100" w:after="468" w:afterLines="150" w:line="400" w:lineRule="exact"/>
              <w:ind w:firstLine="280" w:firstLineChars="100"/>
              <w:jc w:val="both"/>
              <w:rPr>
                <w:rFonts w:hint="default" w:eastAsia="黑体"/>
                <w:lang w:val="en-US" w:eastAsia="zh-CN"/>
              </w:rPr>
            </w:pPr>
            <w:r>
              <w:rPr>
                <w:rFonts w:ascii="黑体" w:hAnsi="华文中宋" w:eastAsia="黑体"/>
                <w:color w:val="FFFFFF"/>
                <w:sz w:val="28"/>
                <w:szCs w:val="28"/>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296545</wp:posOffset>
                      </wp:positionV>
                      <wp:extent cx="5600700" cy="0"/>
                      <wp:effectExtent l="0" t="28575" r="0" b="28575"/>
                      <wp:wrapNone/>
                      <wp:docPr id="1" name="直线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ckThin">
                                <a:solidFill>
                                  <a:srgbClr val="FF0000"/>
                                </a:solidFill>
                                <a:round/>
                              </a:ln>
                            </wps:spPr>
                            <wps:bodyPr/>
                          </wps:wsp>
                        </a:graphicData>
                      </a:graphic>
                    </wp:anchor>
                  </w:drawing>
                </mc:Choice>
                <mc:Fallback>
                  <w:pict>
                    <v:line id="直线 2" o:spid="_x0000_s1026" o:spt="20" style="position:absolute;left:0pt;margin-left:-2.1pt;margin-top:23.35pt;height:0pt;width:441pt;z-index:251659264;mso-width-relative:page;mso-height-relative:page;" filled="f" stroked="t" coordsize="21600,21600" o:gfxdata="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vnIgPUAAAACAEAAA8A&#10;AAAAAAAAAQAgAAAAIgAAAGRycy9kb3ducmV2LnhtbFBLAQIUABQAAAAIAIdO4kB0NjlT4gEAALMD&#10;AAAOAAAAAAAAAAEAIAAAACMBAABkcnMvZTJvRG9jLnhtbFBLBQYAAAAABgAGAFkBAAB3BQAAAAA=&#10;">
                      <v:fill on="f" focussize="0,0"/>
                      <v:stroke weight="4.5pt" color="#FF0000" linestyle="thickThin" joinstyle="round"/>
                      <v:imagedata o:title=""/>
                      <o:lock v:ext="edit" aspectratio="f"/>
                    </v:line>
                  </w:pict>
                </mc:Fallback>
              </mc:AlternateContent>
            </w:r>
            <w:r>
              <w:rPr>
                <w:rFonts w:hint="default" w:ascii="Times New Roman" w:hAnsi="Times New Roman" w:eastAsia="楷体_GB2312" w:cs="Times New Roman"/>
                <w:color w:val="auto"/>
                <w:sz w:val="28"/>
                <w:szCs w:val="20"/>
                <w:lang w:val="en-US" w:eastAsia="zh-CN"/>
              </w:rPr>
              <w:t>国家开放大学主题教育领导小组办公室           2023年4月</w:t>
            </w:r>
            <w:r>
              <w:rPr>
                <w:rFonts w:hint="eastAsia" w:ascii="Times New Roman" w:hAnsi="Times New Roman" w:eastAsia="楷体_GB2312" w:cs="Times New Roman"/>
                <w:color w:val="auto"/>
                <w:sz w:val="28"/>
                <w:szCs w:val="20"/>
                <w:lang w:val="en-US" w:eastAsia="zh-CN"/>
              </w:rPr>
              <w:t>24</w:t>
            </w:r>
            <w:r>
              <w:rPr>
                <w:rFonts w:hint="default" w:ascii="Times New Roman" w:hAnsi="Times New Roman" w:eastAsia="楷体_GB2312" w:cs="Times New Roman"/>
                <w:color w:val="auto"/>
                <w:sz w:val="28"/>
                <w:szCs w:val="20"/>
                <w:lang w:val="en-US" w:eastAsia="zh-CN"/>
              </w:rPr>
              <w:t>日</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4</w:t>
      </w:r>
      <w:r>
        <w:rPr>
          <w:rFonts w:hint="eastAsia" w:hAnsi="仿宋_GB2312" w:eastAsia="仿宋_GB2312" w:cs="仿宋_GB2312"/>
          <w:sz w:val="32"/>
          <w:szCs w:val="32"/>
          <w:lang w:val="en-US" w:eastAsia="zh-CN"/>
        </w:rPr>
        <w:t>月</w:t>
      </w:r>
      <w:r>
        <w:rPr>
          <w:rFonts w:hint="eastAsia" w:ascii="Times New Roman" w:hAnsi="Times New Roman" w:eastAsia="仿宋_GB2312" w:cs="Times New Roman"/>
          <w:sz w:val="32"/>
          <w:szCs w:val="32"/>
          <w:lang w:val="en-US" w:eastAsia="zh-CN"/>
        </w:rPr>
        <w:t>21</w:t>
      </w:r>
      <w:r>
        <w:rPr>
          <w:rFonts w:hint="eastAsia" w:hAnsi="仿宋_GB2312" w:eastAsia="仿宋_GB2312" w:cs="仿宋_GB2312"/>
          <w:sz w:val="32"/>
          <w:szCs w:val="32"/>
          <w:lang w:val="en-US" w:eastAsia="zh-CN"/>
        </w:rPr>
        <w:t>日，学校召开学习贯彻习近平新时代中国特色社会主义思想主题教育动员部署会，对开展主题教育进行动员部署。为落实教育部主题教育直属机关第四巡回指导组组长陈盈晖同志和学校党委书记、校长、校主题教育领导小组组长荆德刚同志讲话要求，现就近期主题教育有关工作提示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根据教育部统一部署，学校党委成立国家开放大学学习贯彻习近平新时代中国特色社会主义思想主题教育领导小组及其办公室（已在动员部署会上作为会议材料印发），明确了领导小组及其办公室的机构设置、组成人员及工作职责，请校内各党（总）支部积极配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国家开放大学开展学习贯彻习近平新时代中国特色社会主义思想主题教育实施方案》已经学校党委会审议，近期即将印发，请各党（总）支部迅速行动，组织党员干部深入学习领会习近平总书记在学习贯彻习近平新时代中国特色社会主义思想主题教育工作会议上的重要讲话精神，认真贯彻落实学校主题教育决策部署。</w:t>
      </w:r>
    </w:p>
    <w:p>
      <w:pPr>
        <w:pStyle w:val="3"/>
        <w:pageBreakBefore w:val="0"/>
        <w:widowControl w:val="0"/>
        <w:kinsoku/>
        <w:wordWrap/>
        <w:overflowPunct/>
        <w:topLinePunct w:val="0"/>
        <w:autoSpaceDE/>
        <w:autoSpaceDN/>
        <w:bidi w:val="0"/>
        <w:adjustRightInd/>
        <w:snapToGrid/>
        <w:spacing w:line="560" w:lineRule="exact"/>
        <w:textAlignment w:val="auto"/>
        <w:rPr>
          <w:rFonts w:hint="eastAsia" w:hAnsi="仿宋_GB2312" w:eastAsia="仿宋_GB2312" w:cs="仿宋_GB2312"/>
          <w:color w:val="000000"/>
          <w:kern w:val="2"/>
          <w:sz w:val="32"/>
          <w:szCs w:val="32"/>
          <w:lang w:val="en-US" w:eastAsia="zh-CN" w:bidi="ar-SA"/>
        </w:rPr>
      </w:pPr>
      <w:r>
        <w:rPr>
          <w:rFonts w:hint="eastAsia" w:hAnsi="仿宋_GB2312" w:eastAsia="仿宋_GB2312" w:cs="仿宋_GB2312"/>
          <w:color w:val="000000"/>
          <w:kern w:val="2"/>
          <w:sz w:val="32"/>
          <w:szCs w:val="32"/>
          <w:lang w:val="en-US" w:eastAsia="zh-CN" w:bidi="ar-SA"/>
        </w:rPr>
        <w:t>三、经党中央批准，学习贯彻习近平新时代中国特色社会主义思想主题教育确定</w:t>
      </w:r>
      <w:r>
        <w:rPr>
          <w:rFonts w:hint="eastAsia" w:ascii="Times New Roman" w:hAnsi="Times New Roman" w:eastAsia="仿宋_GB2312" w:cs="Times New Roman"/>
          <w:sz w:val="32"/>
          <w:szCs w:val="32"/>
          <w:lang w:val="en-US" w:eastAsia="zh-CN"/>
        </w:rPr>
        <w:t>8</w:t>
      </w:r>
      <w:r>
        <w:rPr>
          <w:rFonts w:hint="eastAsia" w:hAnsi="仿宋_GB2312" w:eastAsia="仿宋_GB2312" w:cs="仿宋_GB2312"/>
          <w:color w:val="000000"/>
          <w:kern w:val="2"/>
          <w:sz w:val="32"/>
          <w:szCs w:val="32"/>
          <w:lang w:val="en-US" w:eastAsia="zh-CN" w:bidi="ar-SA"/>
        </w:rPr>
        <w:t>种学习材料，其中必读的</w:t>
      </w:r>
      <w:r>
        <w:rPr>
          <w:rFonts w:hint="eastAsia" w:ascii="Times New Roman" w:hAnsi="Times New Roman" w:eastAsia="仿宋_GB2312" w:cs="Times New Roman"/>
          <w:sz w:val="32"/>
          <w:szCs w:val="32"/>
          <w:lang w:val="en-US" w:eastAsia="zh-CN"/>
        </w:rPr>
        <w:t>4</w:t>
      </w:r>
      <w:r>
        <w:rPr>
          <w:rFonts w:hint="eastAsia" w:hAnsi="仿宋_GB2312" w:eastAsia="仿宋_GB2312" w:cs="仿宋_GB2312"/>
          <w:color w:val="000000"/>
          <w:kern w:val="2"/>
          <w:sz w:val="32"/>
          <w:szCs w:val="32"/>
          <w:lang w:val="en-US" w:eastAsia="zh-CN" w:bidi="ar-SA"/>
        </w:rPr>
        <w:t>种：党的二十大报告、党章、《习近平著作选读》、《习近平新时代中国特色社会主义思想专题摘编》；选读的</w:t>
      </w:r>
      <w:r>
        <w:rPr>
          <w:rFonts w:hint="eastAsia" w:ascii="Times New Roman" w:hAnsi="Times New Roman" w:eastAsia="仿宋_GB2312" w:cs="Times New Roman"/>
          <w:sz w:val="32"/>
          <w:szCs w:val="32"/>
          <w:lang w:val="en-US" w:eastAsia="zh-CN"/>
        </w:rPr>
        <w:t>4</w:t>
      </w:r>
      <w:r>
        <w:rPr>
          <w:rFonts w:hint="eastAsia" w:hAnsi="仿宋_GB2312" w:eastAsia="仿宋_GB2312" w:cs="仿宋_GB2312"/>
          <w:color w:val="000000"/>
          <w:kern w:val="2"/>
          <w:sz w:val="32"/>
          <w:szCs w:val="32"/>
          <w:lang w:val="en-US" w:eastAsia="zh-CN" w:bidi="ar-SA"/>
        </w:rPr>
        <w:t>种：《习近平新时代中国特色社会主义思想学习纲要》、习近平总书记《论党的自我革命》、《习近平新时代中国特色社会主义思想的世界观和方法论专题摘编》、《习近平关于调研研究论述摘编》。</w:t>
      </w:r>
    </w:p>
    <w:p>
      <w:pPr>
        <w:pStyle w:val="3"/>
        <w:pageBreakBefore w:val="0"/>
        <w:widowControl w:val="0"/>
        <w:kinsoku/>
        <w:wordWrap/>
        <w:overflowPunct/>
        <w:topLinePunct w:val="0"/>
        <w:autoSpaceDE/>
        <w:autoSpaceDN/>
        <w:bidi w:val="0"/>
        <w:adjustRightInd/>
        <w:snapToGrid/>
        <w:spacing w:line="560" w:lineRule="exact"/>
        <w:textAlignment w:val="auto"/>
        <w:rPr>
          <w:rFonts w:hint="eastAsia" w:hAnsi="仿宋_GB2312" w:eastAsia="仿宋_GB2312" w:cs="仿宋_GB2312"/>
          <w:color w:val="000000"/>
          <w:kern w:val="2"/>
          <w:sz w:val="32"/>
          <w:szCs w:val="32"/>
          <w:lang w:val="en-US" w:eastAsia="zh-CN" w:bidi="ar-SA"/>
        </w:rPr>
      </w:pPr>
      <w:r>
        <w:rPr>
          <w:rFonts w:hint="eastAsia" w:hAnsi="仿宋_GB2312" w:eastAsia="仿宋_GB2312" w:cs="仿宋_GB2312"/>
          <w:color w:val="000000"/>
          <w:kern w:val="2"/>
          <w:sz w:val="32"/>
          <w:szCs w:val="32"/>
          <w:lang w:val="en-US" w:eastAsia="zh-CN" w:bidi="ar-SA"/>
        </w:rPr>
        <w:t>对必读的学习材料，学校处级以上干部要原原本本学、逐字逐句学，全面系统学习习近平新时代中国特色社会主义思想的主要内容，整体把握这一思想的科学体系，准确把握包括“六个必须坚持”在内的习近平新时代中国特色社会主义思想的立场观点方法，做到全面学习、全面把握、全面落实。要结合工作岗位、立足职能职责，认真组织学习贯彻习近平总书记有关重要思想和重要讲话精神，同时深入学习贯彻习近平总书记关于教育的重要论述，切实把学习成效转化为做好本职工作、推动事业发展的生动实践。主题教育期间，侧重学习党的二十大报告、党章和《习近平新时代中国特色社会主义思想专题摘编》。对选读的学习材料，学校各党（总）支部结合实际，通过多种形式组织党员干部开展学习。</w:t>
      </w:r>
    </w:p>
    <w:p>
      <w:pPr>
        <w:pageBreakBefore w:val="0"/>
        <w:widowControl w:val="0"/>
        <w:numPr>
          <w:ilvl w:val="0"/>
          <w:numId w:val="1"/>
        </w:numPr>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各部门领导班子成员中的非中共党员，应参加主题教育。各党（总）支部开展专题研讨、专题调研，交流研究成果，查找分析推动发展中的问题短板及根源等，可请他们参加。各党（总）支部开展集中学习研讨、专题组织生活会等，可请他们列席。讲专题党课、开展党性分析，对他们不作要求。主题教育中，要注意听取他们的意见和建议。</w:t>
      </w:r>
    </w:p>
    <w:p>
      <w:pPr>
        <w:pStyle w:val="2"/>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小标宋简体" w:hAnsi="方正小标宋简体" w:eastAsia="方正小标宋简体" w:cs="方正小标宋简体"/>
          <w:sz w:val="32"/>
          <w:szCs w:val="32"/>
          <w:lang w:val="en-US" w:eastAsia="zh-CN"/>
        </w:rPr>
      </w:pPr>
      <w:r>
        <w:rPr>
          <w:rFonts w:hint="eastAsia" w:ascii="仿宋_GB2312" w:hAnsi="仿宋_GB2312" w:eastAsia="仿宋_GB2312" w:cs="仿宋_GB2312"/>
          <w:b w:val="0"/>
          <w:bCs w:val="0"/>
          <w:color w:val="000000"/>
          <w:kern w:val="2"/>
          <w:sz w:val="32"/>
          <w:szCs w:val="32"/>
          <w:lang w:val="en-US" w:eastAsia="zh-CN" w:bidi="ar-SA"/>
        </w:rPr>
        <w:t>五、根据教育部主题教育领导小组要求，学校派出6个巡回指导小组，对各党（总）支部开展主题教育进行指导督促（名单及联系方式附后）。请各党（总）支部指定支委及时与巡回指导小组联系，主动邀请参加有关学习活动。</w:t>
      </w:r>
      <w:r>
        <w:rPr>
          <w:rFonts w:hint="eastAsia" w:ascii="方正小标宋简体" w:hAnsi="方正小标宋简体" w:eastAsia="方正小标宋简体" w:cs="方正小标宋简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宋体" w:eastAsia="仿宋_GB2312" w:cs="Times New Roman"/>
          <w:color w:val="000000"/>
          <w:sz w:val="32"/>
          <w:szCs w:val="32"/>
          <w:lang w:val="en-US" w:eastAsia="zh-CN"/>
        </w:rPr>
      </w:pPr>
      <w:r>
        <w:rPr>
          <w:rFonts w:hint="eastAsia" w:ascii="仿宋_GB2312" w:hAnsi="宋体" w:eastAsia="仿宋_GB2312" w:cs="Times New Roman"/>
          <w:color w:val="000000"/>
          <w:sz w:val="32"/>
          <w:szCs w:val="32"/>
          <w:lang w:val="en-US" w:eastAsia="zh-CN"/>
        </w:rPr>
        <w:t>附件</w:t>
      </w:r>
    </w:p>
    <w:p>
      <w:pPr>
        <w:spacing w:line="560" w:lineRule="exact"/>
        <w:jc w:val="center"/>
        <w:rPr>
          <w:rFonts w:hint="eastAsia" w:ascii="方正小标宋简体" w:hAnsi="Calibri" w:eastAsia="方正小标宋简体" w:cs="Times New Roman"/>
          <w:b w:val="0"/>
          <w:bCs w:val="0"/>
          <w:color w:val="000000"/>
          <w:sz w:val="40"/>
          <w:szCs w:val="40"/>
          <w:lang w:val="en-US" w:eastAsia="zh-CN"/>
        </w:rPr>
      </w:pPr>
      <w:r>
        <w:rPr>
          <w:rFonts w:hint="eastAsia" w:ascii="方正小标宋简体" w:hAnsi="Calibri" w:eastAsia="方正小标宋简体" w:cs="Times New Roman"/>
          <w:b w:val="0"/>
          <w:bCs w:val="0"/>
          <w:color w:val="000000"/>
          <w:sz w:val="40"/>
          <w:szCs w:val="40"/>
          <w:lang w:val="en-US" w:eastAsia="zh-CN"/>
        </w:rPr>
        <w:t>主题教育国家开放大学巡回指导小组</w:t>
      </w:r>
    </w:p>
    <w:p>
      <w:pPr>
        <w:spacing w:line="560" w:lineRule="exact"/>
        <w:jc w:val="center"/>
        <w:rPr>
          <w:rFonts w:hint="eastAsia" w:ascii="方正小标宋简体" w:hAnsi="Calibri" w:eastAsia="方正小标宋简体" w:cs="Times New Roman"/>
          <w:b w:val="0"/>
          <w:bCs w:val="0"/>
          <w:color w:val="000000"/>
          <w:sz w:val="40"/>
          <w:szCs w:val="40"/>
          <w:lang w:val="en-US" w:eastAsia="zh-CN"/>
        </w:rPr>
      </w:pPr>
      <w:r>
        <w:rPr>
          <w:rFonts w:hint="eastAsia" w:ascii="方正小标宋简体" w:hAnsi="Calibri" w:eastAsia="方正小标宋简体" w:cs="Times New Roman"/>
          <w:b w:val="0"/>
          <w:bCs w:val="0"/>
          <w:color w:val="000000"/>
          <w:sz w:val="40"/>
          <w:szCs w:val="40"/>
          <w:lang w:val="en-US" w:eastAsia="zh-CN"/>
        </w:rPr>
        <w:t>成员名单</w:t>
      </w:r>
    </w:p>
    <w:p>
      <w:pPr>
        <w:jc w:val="center"/>
        <w:rPr>
          <w:rFonts w:hint="eastAsia" w:ascii="黑体" w:hAnsi="黑体" w:eastAsia="黑体" w:cs="黑体"/>
          <w:b w:val="0"/>
          <w:bCs w:val="0"/>
          <w:sz w:val="32"/>
          <w:szCs w:val="32"/>
          <w:lang w:val="en-US"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第一组</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联系党支部：</w:t>
      </w:r>
      <w:r>
        <w:rPr>
          <w:rFonts w:hint="eastAsia" w:ascii="仿宋_GB2312" w:hAnsi="仿宋_GB2312" w:eastAsia="仿宋_GB2312" w:cs="仿宋_GB2312"/>
          <w:sz w:val="32"/>
          <w:szCs w:val="32"/>
          <w:lang w:val="en-US" w:eastAsia="zh-CN"/>
        </w:rPr>
        <w:t>艺术学院党支部、政法教学部党支部、经济管理教学部党支部、</w:t>
      </w:r>
      <w:r>
        <w:rPr>
          <w:rFonts w:hint="eastAsia" w:ascii="仿宋_GB2312" w:hAnsi="仿宋_GB2312" w:eastAsia="仿宋_GB2312" w:cs="仿宋_GB2312"/>
          <w:b w:val="0"/>
          <w:bCs w:val="0"/>
          <w:kern w:val="2"/>
          <w:sz w:val="32"/>
          <w:szCs w:val="32"/>
          <w:lang w:val="en-US" w:eastAsia="zh-CN" w:bidi="ar-SA"/>
        </w:rPr>
        <w:t>教育教学部党支部、</w:t>
      </w:r>
      <w:r>
        <w:rPr>
          <w:rFonts w:hint="eastAsia" w:ascii="仿宋_GB2312" w:hAnsi="仿宋_GB2312" w:eastAsia="仿宋_GB2312" w:cs="仿宋_GB2312"/>
          <w:sz w:val="32"/>
          <w:szCs w:val="32"/>
          <w:lang w:val="en-US" w:eastAsia="zh-CN"/>
        </w:rPr>
        <w:t>理工教学部党支部、</w:t>
      </w:r>
      <w:r>
        <w:rPr>
          <w:rFonts w:hint="eastAsia" w:ascii="仿宋_GB2312" w:hAnsi="仿宋_GB2312" w:eastAsia="仿宋_GB2312" w:cs="仿宋_GB2312"/>
          <w:b w:val="0"/>
          <w:bCs w:val="0"/>
          <w:kern w:val="2"/>
          <w:sz w:val="32"/>
          <w:szCs w:val="32"/>
          <w:lang w:val="en-US" w:eastAsia="zh-CN" w:bidi="ar-SA"/>
        </w:rPr>
        <w:t>外语教学部党支部、实验学院党支部、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组长：孙福万</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成员：肖婉莹  1352288</w:t>
      </w:r>
      <w:bookmarkStart w:id="0" w:name="_GoBack"/>
      <w:bookmarkEnd w:id="0"/>
      <w:r>
        <w:rPr>
          <w:rFonts w:hint="eastAsia" w:ascii="仿宋_GB2312" w:hAnsi="仿宋_GB2312" w:eastAsia="仿宋_GB2312" w:cs="仿宋_GB2312"/>
          <w:sz w:val="32"/>
          <w:szCs w:val="32"/>
          <w:lang w:val="en-US" w:eastAsia="zh-CN"/>
        </w:rPr>
        <w:t>0189</w:t>
      </w:r>
    </w:p>
    <w:p>
      <w:pPr>
        <w:spacing w:afterAutospacing="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第二组</w:t>
      </w:r>
    </w:p>
    <w:p>
      <w:pPr>
        <w:pStyle w:val="2"/>
        <w:spacing w:before="0" w:beforeAutospacing="0" w:after="0" w:afterAutospacing="0"/>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联系党支部：</w:t>
      </w:r>
      <w:r>
        <w:rPr>
          <w:rFonts w:hint="eastAsia" w:ascii="仿宋_GB2312" w:hAnsi="仿宋_GB2312" w:eastAsia="仿宋_GB2312" w:cs="仿宋_GB2312"/>
          <w:b w:val="0"/>
          <w:bCs w:val="0"/>
          <w:kern w:val="2"/>
          <w:sz w:val="32"/>
          <w:szCs w:val="32"/>
          <w:lang w:val="en-US" w:eastAsia="zh-CN" w:bidi="ar-SA"/>
        </w:rPr>
        <w:t>人文教学部党支部、马克思主义学院党支部、农林医药教学部党支部、中职教学部党支部、老年学院党支部、社会教育部党支部</w:t>
      </w:r>
    </w:p>
    <w:p>
      <w:pPr>
        <w:spacing w:beforeAutospacing="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组长：郭青春</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成员：王毅凡  18518512982</w:t>
      </w:r>
    </w:p>
    <w:p>
      <w:pPr>
        <w:spacing w:afterAutospacing="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第三组</w:t>
      </w:r>
    </w:p>
    <w:p>
      <w:pPr>
        <w:pStyle w:val="2"/>
        <w:spacing w:before="0" w:beforeAutospacing="0" w:after="0" w:afterAutospacing="0"/>
        <w:ind w:firstLine="643" w:firstLineChars="200"/>
        <w:rPr>
          <w:rFonts w:hint="eastAsia"/>
          <w:lang w:val="en-US" w:eastAsia="zh-CN"/>
        </w:rPr>
      </w:pPr>
      <w:r>
        <w:rPr>
          <w:rFonts w:hint="eastAsia" w:ascii="仿宋_GB2312" w:hAnsi="仿宋_GB2312" w:eastAsia="仿宋_GB2312" w:cs="仿宋_GB2312"/>
          <w:b/>
          <w:bCs/>
          <w:kern w:val="2"/>
          <w:sz w:val="32"/>
          <w:szCs w:val="32"/>
          <w:lang w:val="en-US" w:eastAsia="zh-CN" w:bidi="ar-SA"/>
        </w:rPr>
        <w:t>联系党支部：</w:t>
      </w:r>
      <w:r>
        <w:rPr>
          <w:rFonts w:hint="eastAsia" w:ascii="仿宋_GB2312" w:hAnsi="仿宋_GB2312" w:eastAsia="仿宋_GB2312" w:cs="仿宋_GB2312"/>
          <w:b w:val="0"/>
          <w:bCs w:val="0"/>
          <w:kern w:val="2"/>
          <w:sz w:val="32"/>
          <w:szCs w:val="32"/>
          <w:lang w:val="en-US" w:eastAsia="zh-CN" w:bidi="ar-SA"/>
        </w:rPr>
        <w:t>终身教育研究院党支部、教务部党支部、学习资源部党支部、国际部党支部、质量监控部党支部、信息化部党支部</w:t>
      </w:r>
    </w:p>
    <w:p>
      <w:pPr>
        <w:spacing w:beforeAutospacing="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组长：张峦峤</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成员：徐厚成  13911800458</w:t>
      </w: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第四组</w:t>
      </w:r>
    </w:p>
    <w:p>
      <w:pPr>
        <w:pStyle w:val="2"/>
        <w:spacing w:after="0" w:afterAutospacing="0"/>
        <w:ind w:firstLine="643" w:firstLineChars="200"/>
        <w:rPr>
          <w:rFonts w:hint="eastAsia"/>
          <w:lang w:val="en-US" w:eastAsia="zh-CN"/>
        </w:rPr>
      </w:pPr>
      <w:r>
        <w:rPr>
          <w:rFonts w:hint="eastAsia" w:ascii="仿宋_GB2312" w:hAnsi="仿宋_GB2312" w:eastAsia="仿宋_GB2312" w:cs="仿宋_GB2312"/>
          <w:b/>
          <w:bCs/>
          <w:kern w:val="2"/>
          <w:sz w:val="32"/>
          <w:szCs w:val="32"/>
          <w:lang w:val="en-US" w:eastAsia="zh-CN" w:bidi="ar-SA"/>
        </w:rPr>
        <w:t>联系党支部：</w:t>
      </w:r>
      <w:r>
        <w:rPr>
          <w:rFonts w:hint="eastAsia" w:ascii="仿宋_GB2312" w:hAnsi="仿宋_GB2312" w:eastAsia="仿宋_GB2312" w:cs="仿宋_GB2312"/>
          <w:b w:val="0"/>
          <w:bCs w:val="0"/>
          <w:kern w:val="2"/>
          <w:sz w:val="32"/>
          <w:szCs w:val="32"/>
          <w:lang w:val="en-US" w:eastAsia="zh-CN" w:bidi="ar-SA"/>
        </w:rPr>
        <w:t>学生工作与教师发展部党支部、学分银行党支部、党政办公室党支部、宣传统战党支部、纪检审计党支部、资产管理公司党支部</w:t>
      </w:r>
    </w:p>
    <w:p>
      <w:pPr>
        <w:spacing w:beforeAutospacing="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组长：李睿卿</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成员：李  航  16601116600</w:t>
      </w: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第五组</w:t>
      </w:r>
    </w:p>
    <w:p>
      <w:pPr>
        <w:pStyle w:val="2"/>
        <w:spacing w:after="0" w:afterAutospacing="0"/>
        <w:ind w:firstLine="643" w:firstLineChars="200"/>
        <w:rPr>
          <w:rFonts w:hint="eastAsia"/>
          <w:lang w:val="en-US" w:eastAsia="zh-CN"/>
        </w:rPr>
      </w:pPr>
      <w:r>
        <w:rPr>
          <w:rFonts w:hint="eastAsia" w:ascii="仿宋_GB2312" w:hAnsi="仿宋_GB2312" w:eastAsia="仿宋_GB2312" w:cs="仿宋_GB2312"/>
          <w:b/>
          <w:bCs/>
          <w:kern w:val="2"/>
          <w:sz w:val="32"/>
          <w:szCs w:val="32"/>
          <w:lang w:val="en-US" w:eastAsia="zh-CN" w:bidi="ar-SA"/>
        </w:rPr>
        <w:t>联系党支部：</w:t>
      </w:r>
      <w:r>
        <w:rPr>
          <w:rFonts w:hint="eastAsia" w:ascii="仿宋_GB2312" w:hAnsi="仿宋_GB2312" w:eastAsia="仿宋_GB2312" w:cs="仿宋_GB2312"/>
          <w:b w:val="0"/>
          <w:bCs w:val="0"/>
          <w:kern w:val="2"/>
          <w:sz w:val="32"/>
          <w:szCs w:val="32"/>
          <w:lang w:val="en-US" w:eastAsia="zh-CN" w:bidi="ar-SA"/>
        </w:rPr>
        <w:t>组织人事党支部、改革发展部党支部、财务部党支部、资产管理部党支部、后勤保卫部党支部、离退休党总支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组长：谢盛勇</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成员：李  超  15210509793</w:t>
      </w: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第六组</w:t>
      </w:r>
    </w:p>
    <w:p>
      <w:pPr>
        <w:ind w:firstLine="643" w:firstLineChars="200"/>
        <w:jc w:val="both"/>
        <w:rPr>
          <w:rFonts w:hint="eastAsia"/>
          <w:lang w:val="en-US" w:eastAsia="zh-CN"/>
        </w:rPr>
      </w:pPr>
      <w:r>
        <w:rPr>
          <w:rFonts w:hint="eastAsia" w:ascii="仿宋_GB2312" w:hAnsi="仿宋_GB2312" w:eastAsia="仿宋_GB2312" w:cs="仿宋_GB2312"/>
          <w:b/>
          <w:bCs/>
          <w:kern w:val="2"/>
          <w:sz w:val="32"/>
          <w:szCs w:val="32"/>
          <w:lang w:val="en-US" w:eastAsia="zh-CN" w:bidi="ar-SA"/>
        </w:rPr>
        <w:t>联系党支部：</w:t>
      </w:r>
      <w:r>
        <w:rPr>
          <w:rFonts w:hint="eastAsia" w:ascii="仿宋_GB2312" w:hAnsi="仿宋_GB2312" w:eastAsia="仿宋_GB2312" w:cs="仿宋_GB2312"/>
          <w:b w:val="0"/>
          <w:bCs w:val="0"/>
          <w:kern w:val="2"/>
          <w:sz w:val="32"/>
          <w:szCs w:val="32"/>
          <w:lang w:val="en-US" w:eastAsia="zh-CN" w:bidi="ar-SA"/>
        </w:rPr>
        <w:t>工会基金会联合党支部、国开泛在党支部、国开贝和党支部、培训学院党支部、国开在线党支部、出版传媒集团党总支</w:t>
      </w:r>
    </w:p>
    <w:p>
      <w:pPr>
        <w:spacing w:beforeAutospacing="0"/>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组长：吕伟萍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成员：张子阳  15622311825</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4A989"/>
    <w:multiLevelType w:val="singleLevel"/>
    <w:tmpl w:val="26E4A98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WRiN2RkMjk5NzhkN2E2NmVlY2FlNmMwNjc2MDkifQ=="/>
  </w:docVars>
  <w:rsids>
    <w:rsidRoot w:val="745C69C5"/>
    <w:rsid w:val="1FC92CED"/>
    <w:rsid w:val="24C9658E"/>
    <w:rsid w:val="2D3D1686"/>
    <w:rsid w:val="30F5641D"/>
    <w:rsid w:val="33466FF4"/>
    <w:rsid w:val="33F03D9C"/>
    <w:rsid w:val="3A9502DB"/>
    <w:rsid w:val="3C437663"/>
    <w:rsid w:val="454F25BA"/>
    <w:rsid w:val="46F62029"/>
    <w:rsid w:val="50D731F5"/>
    <w:rsid w:val="55107B60"/>
    <w:rsid w:val="58D109F1"/>
    <w:rsid w:val="5DC4537F"/>
    <w:rsid w:val="69E91EAC"/>
    <w:rsid w:val="6EF01BA5"/>
    <w:rsid w:val="745C69C5"/>
    <w:rsid w:val="782D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index 6"/>
    <w:basedOn w:val="1"/>
    <w:next w:val="1"/>
    <w:qFormat/>
    <w:uiPriority w:val="0"/>
    <w:pPr>
      <w:spacing w:line="600" w:lineRule="exact"/>
      <w:ind w:firstLine="640" w:firstLineChars="200"/>
    </w:pPr>
    <w:rPr>
      <w:rFonts w:ascii="仿宋_GB2312" w:hAnsi="黑体"/>
      <w:color w:val="00000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1678</Words>
  <Characters>1743</Characters>
  <Lines>0</Lines>
  <Paragraphs>0</Paragraphs>
  <TotalTime>22</TotalTime>
  <ScaleCrop>false</ScaleCrop>
  <LinksUpToDate>false</LinksUpToDate>
  <CharactersWithSpaces>1774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2023-04-14T05:16:00Z</dcterms:created>
  <dc:creator>开朗de珂</dc:creator>
  <cp:lastModifiedBy>敖小文</cp:lastModifiedBy>
  <cp:lastPrinted>2023-04-24T03:49:00Z</cp:lastPrinted>
  <dcterms:modified xsi:type="dcterms:W3CDTF">2023-04-24T08:51:38Z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03F4A3ED278D4019A74B91641F62A780_13</vt:lpwstr>
  </property>
</Properties>
</file>