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隶书"/>
          <w:b/>
          <w:bCs/>
          <w:spacing w:val="-20"/>
          <w:sz w:val="72"/>
          <w:szCs w:val="24"/>
        </w:rPr>
      </w:pPr>
    </w:p>
    <w:p>
      <w:pPr>
        <w:spacing w:line="580" w:lineRule="exact"/>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高等学历继续教育</w:t>
      </w:r>
    </w:p>
    <w:p>
      <w:pPr>
        <w:spacing w:line="580" w:lineRule="exact"/>
        <w:jc w:val="center"/>
        <w:rPr>
          <w:rFonts w:ascii="Times New Roman" w:hAnsi="Times New Roman" w:eastAsia="方正小标宋简体"/>
          <w:bCs/>
          <w:kern w:val="0"/>
          <w:sz w:val="44"/>
          <w:szCs w:val="44"/>
        </w:rPr>
      </w:pPr>
      <w:r>
        <w:rPr>
          <w:rFonts w:ascii="Times New Roman" w:hAnsi="Times New Roman" w:eastAsia="方正小标宋简体"/>
          <w:bCs/>
          <w:kern w:val="0"/>
          <w:sz w:val="44"/>
          <w:szCs w:val="44"/>
        </w:rPr>
        <w:t>非国控专业增设申请表</w:t>
      </w:r>
    </w:p>
    <w:p>
      <w:pPr>
        <w:spacing w:line="580" w:lineRule="exact"/>
        <w:rPr>
          <w:rFonts w:ascii="Times New Roman" w:hAnsi="Times New Roman"/>
          <w:szCs w:val="24"/>
        </w:rPr>
      </w:pPr>
    </w:p>
    <w:p>
      <w:pPr>
        <w:spacing w:line="580" w:lineRule="exact"/>
        <w:rPr>
          <w:rFonts w:ascii="Times New Roman" w:hAnsi="Times New Roman"/>
          <w:szCs w:val="24"/>
        </w:rPr>
      </w:pPr>
    </w:p>
    <w:p>
      <w:pPr>
        <w:spacing w:line="580" w:lineRule="exact"/>
        <w:ind w:firstLine="990" w:firstLineChars="275"/>
        <w:rPr>
          <w:rFonts w:ascii="Times New Roman" w:hAnsi="Times New Roman"/>
          <w:szCs w:val="24"/>
        </w:rPr>
      </w:pPr>
      <w:r>
        <w:rPr>
          <w:rFonts w:ascii="Times New Roman" w:eastAsia="楷体_GB2312"/>
          <w:sz w:val="36"/>
          <w:szCs w:val="24"/>
        </w:rPr>
        <w:t>学校名称（盖章）：</w:t>
      </w:r>
      <w:r>
        <w:rPr>
          <w:rFonts w:hint="eastAsia" w:ascii="Times New Roman" w:eastAsia="楷体_GB2312"/>
          <w:sz w:val="36"/>
          <w:szCs w:val="24"/>
        </w:rPr>
        <w:t>国家开放大学</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学校主管部门：</w:t>
      </w:r>
      <w:r>
        <w:rPr>
          <w:rFonts w:hint="eastAsia" w:ascii="Times New Roman" w:eastAsia="楷体_GB2312"/>
          <w:sz w:val="36"/>
          <w:szCs w:val="24"/>
        </w:rPr>
        <w:t>北京市教育委员会</w:t>
      </w:r>
    </w:p>
    <w:p>
      <w:pPr>
        <w:spacing w:line="580" w:lineRule="exact"/>
        <w:ind w:firstLine="990" w:firstLineChars="275"/>
        <w:rPr>
          <w:rFonts w:ascii="Times New Roman" w:hAnsi="Times New Roman" w:eastAsia="楷体_GB2312"/>
          <w:sz w:val="36"/>
          <w:szCs w:val="24"/>
          <w:u w:val="thick"/>
        </w:rPr>
      </w:pPr>
      <w:r>
        <w:rPr>
          <w:rFonts w:ascii="Times New Roman" w:eastAsia="楷体_GB2312"/>
          <w:sz w:val="36"/>
          <w:szCs w:val="24"/>
        </w:rPr>
        <w:t>专业名称：</w:t>
      </w:r>
      <w:r>
        <w:rPr>
          <w:rFonts w:hint="eastAsia" w:ascii="Times New Roman" w:eastAsia="楷体_GB2312"/>
          <w:sz w:val="36"/>
          <w:szCs w:val="24"/>
        </w:rPr>
        <w:t>体育运营与管理</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专业代码：</w:t>
      </w:r>
      <w:r>
        <w:rPr>
          <w:rFonts w:hint="eastAsia" w:ascii="Times New Roman" w:eastAsia="楷体_GB2312"/>
          <w:sz w:val="36"/>
          <w:szCs w:val="24"/>
        </w:rPr>
        <w:t>670408</w:t>
      </w:r>
    </w:p>
    <w:p>
      <w:pPr>
        <w:spacing w:line="580" w:lineRule="exact"/>
        <w:ind w:firstLine="989" w:firstLineChars="255"/>
        <w:rPr>
          <w:rFonts w:hint="eastAsia" w:ascii="Times New Roman" w:hAnsi="Times New Roman" w:eastAsia="楷体_GB2312"/>
          <w:spacing w:val="14"/>
          <w:sz w:val="36"/>
          <w:szCs w:val="24"/>
          <w:lang w:eastAsia="zh-CN"/>
        </w:rPr>
      </w:pPr>
      <w:r>
        <w:rPr>
          <w:rFonts w:ascii="Times New Roman" w:eastAsia="楷体_GB2312"/>
          <w:spacing w:val="14"/>
          <w:sz w:val="36"/>
          <w:szCs w:val="24"/>
        </w:rPr>
        <w:t>所属专业门类或专业大类：</w:t>
      </w:r>
      <w:r>
        <w:rPr>
          <w:rFonts w:hint="eastAsia" w:ascii="Times New Roman" w:eastAsia="楷体_GB2312"/>
          <w:spacing w:val="14"/>
          <w:sz w:val="36"/>
          <w:szCs w:val="24"/>
        </w:rPr>
        <w:t>教育与体育</w:t>
      </w:r>
      <w:r>
        <w:rPr>
          <w:rFonts w:hint="eastAsia" w:ascii="Times New Roman" w:eastAsia="楷体_GB2312"/>
          <w:spacing w:val="14"/>
          <w:sz w:val="36"/>
          <w:szCs w:val="24"/>
          <w:lang w:eastAsia="zh-CN"/>
        </w:rPr>
        <w:t>大类</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修业年限：</w:t>
      </w:r>
      <w:r>
        <w:rPr>
          <w:rFonts w:hint="eastAsia" w:ascii="Times New Roman" w:eastAsia="楷体_GB2312"/>
          <w:spacing w:val="14"/>
          <w:sz w:val="36"/>
          <w:szCs w:val="24"/>
        </w:rPr>
        <w:t>2.5年</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培养层次</w:t>
      </w:r>
      <w:r>
        <w:rPr>
          <w:rFonts w:ascii="Times New Roman" w:hAnsi="Times New Roman" w:eastAsia="楷体_GB2312"/>
          <w:spacing w:val="14"/>
          <w:sz w:val="36"/>
          <w:szCs w:val="24"/>
        </w:rPr>
        <w:t>:</w:t>
      </w:r>
      <w:r>
        <w:rPr>
          <w:rFonts w:hint="eastAsia" w:ascii="Times New Roman" w:hAnsi="Times New Roman" w:eastAsia="楷体_GB2312"/>
          <w:spacing w:val="14"/>
          <w:sz w:val="36"/>
          <w:szCs w:val="24"/>
        </w:rPr>
        <w:t>专科</w:t>
      </w:r>
    </w:p>
    <w:p>
      <w:pPr>
        <w:spacing w:line="580" w:lineRule="exact"/>
        <w:ind w:firstLine="989" w:firstLineChars="255"/>
        <w:rPr>
          <w:rFonts w:ascii="Times New Roman" w:hAnsi="Times New Roman" w:eastAsia="楷体_GB2312"/>
          <w:spacing w:val="14"/>
          <w:sz w:val="36"/>
          <w:szCs w:val="24"/>
        </w:rPr>
      </w:pPr>
      <w:r>
        <w:rPr>
          <w:rFonts w:ascii="Times New Roman" w:eastAsia="楷体_GB2312"/>
          <w:spacing w:val="14"/>
          <w:sz w:val="36"/>
          <w:szCs w:val="24"/>
        </w:rPr>
        <w:t>学习形式</w:t>
      </w:r>
      <w:r>
        <w:rPr>
          <w:rFonts w:ascii="Times New Roman" w:hAnsi="Times New Roman" w:eastAsia="楷体_GB2312"/>
          <w:spacing w:val="14"/>
          <w:sz w:val="36"/>
          <w:szCs w:val="24"/>
        </w:rPr>
        <w:t>:</w:t>
      </w:r>
      <w:r>
        <w:rPr>
          <w:rFonts w:hint="eastAsia" w:ascii="Times New Roman" w:hAnsi="Times New Roman" w:eastAsia="楷体_GB2312"/>
          <w:spacing w:val="14"/>
          <w:sz w:val="36"/>
          <w:szCs w:val="24"/>
        </w:rPr>
        <w:t>开放教育</w:t>
      </w:r>
    </w:p>
    <w:p>
      <w:pPr>
        <w:spacing w:line="580" w:lineRule="exact"/>
        <w:ind w:firstLine="989" w:firstLineChars="255"/>
        <w:rPr>
          <w:rFonts w:ascii="Times New Roman" w:hAnsi="Times New Roman" w:eastAsia="楷体_GB2312"/>
          <w:sz w:val="36"/>
          <w:szCs w:val="24"/>
        </w:rPr>
      </w:pPr>
      <w:r>
        <w:rPr>
          <w:rFonts w:ascii="Times New Roman" w:eastAsia="楷体_GB2312"/>
          <w:spacing w:val="14"/>
          <w:sz w:val="36"/>
          <w:szCs w:val="24"/>
        </w:rPr>
        <w:t>申请时间：</w:t>
      </w:r>
      <w:r>
        <w:rPr>
          <w:rFonts w:hint="eastAsia" w:ascii="Times New Roman" w:eastAsia="楷体_GB2312"/>
          <w:spacing w:val="14"/>
          <w:sz w:val="36"/>
          <w:szCs w:val="24"/>
        </w:rPr>
        <w:t>2020年1月</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专业负责人：</w:t>
      </w:r>
      <w:r>
        <w:rPr>
          <w:rFonts w:hint="eastAsia" w:ascii="Times New Roman" w:eastAsia="楷体_GB2312"/>
          <w:sz w:val="36"/>
          <w:szCs w:val="24"/>
        </w:rPr>
        <w:t>马腾飞</w:t>
      </w:r>
    </w:p>
    <w:p>
      <w:pPr>
        <w:spacing w:line="580" w:lineRule="exact"/>
        <w:ind w:firstLine="990" w:firstLineChars="275"/>
        <w:rPr>
          <w:rFonts w:ascii="Times New Roman" w:hAnsi="Times New Roman" w:eastAsia="楷体_GB2312"/>
          <w:sz w:val="36"/>
          <w:szCs w:val="24"/>
        </w:rPr>
      </w:pPr>
      <w:r>
        <w:rPr>
          <w:rFonts w:ascii="Times New Roman" w:eastAsia="楷体_GB2312"/>
          <w:sz w:val="36"/>
          <w:szCs w:val="24"/>
        </w:rPr>
        <w:t>联系电话：</w:t>
      </w:r>
      <w:r>
        <w:rPr>
          <w:rFonts w:hint="eastAsia" w:ascii="Times New Roman" w:eastAsia="楷体_GB2312"/>
          <w:sz w:val="36"/>
          <w:szCs w:val="24"/>
        </w:rPr>
        <w:t>15201155071</w:t>
      </w:r>
    </w:p>
    <w:p>
      <w:pPr>
        <w:spacing w:line="580" w:lineRule="exact"/>
        <w:rPr>
          <w:rFonts w:ascii="Times New Roman" w:hAnsi="Times New Roman" w:eastAsia="楷体_GB2312"/>
          <w:sz w:val="44"/>
          <w:szCs w:val="24"/>
        </w:rPr>
      </w:pPr>
    </w:p>
    <w:p>
      <w:pPr>
        <w:spacing w:line="580" w:lineRule="exact"/>
        <w:rPr>
          <w:rFonts w:ascii="Times New Roman" w:hAnsi="Times New Roman"/>
          <w:szCs w:val="24"/>
        </w:rPr>
      </w:pP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r>
        <w:rPr>
          <w:rFonts w:ascii="Times New Roman" w:eastAsia="楷体_GB2312"/>
          <w:sz w:val="36"/>
          <w:szCs w:val="24"/>
        </w:rPr>
        <w:t>中华人民共和国教育部制</w:t>
      </w:r>
    </w:p>
    <w:p>
      <w:pPr>
        <w:spacing w:line="580" w:lineRule="exact"/>
        <w:jc w:val="center"/>
        <w:rPr>
          <w:rFonts w:ascii="Times New Roman" w:hAnsi="Times New Roman" w:eastAsia="楷体_GB2312"/>
          <w:sz w:val="36"/>
          <w:szCs w:val="24"/>
        </w:rPr>
      </w:pPr>
    </w:p>
    <w:p>
      <w:pPr>
        <w:spacing w:line="580" w:lineRule="exact"/>
        <w:jc w:val="center"/>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rPr>
          <w:rFonts w:ascii="Times New Roman" w:hAnsi="Times New Roman" w:eastAsia="楷体_GB2312"/>
          <w:sz w:val="36"/>
          <w:szCs w:val="24"/>
        </w:rPr>
      </w:pPr>
    </w:p>
    <w:p>
      <w:pPr>
        <w:spacing w:line="580" w:lineRule="exact"/>
        <w:jc w:val="center"/>
        <w:rPr>
          <w:rFonts w:ascii="Times New Roman" w:hAnsi="Times New Roman" w:eastAsia="仿宋_GB2312"/>
          <w:b/>
          <w:bCs/>
          <w:sz w:val="36"/>
          <w:szCs w:val="36"/>
        </w:rPr>
      </w:pPr>
    </w:p>
    <w:p>
      <w:pPr>
        <w:spacing w:line="580" w:lineRule="exact"/>
        <w:jc w:val="center"/>
        <w:rPr>
          <w:rFonts w:ascii="Times New Roman" w:hAnsi="Times New Roman" w:eastAsia="仿宋_GB2312"/>
          <w:b/>
          <w:bCs/>
          <w:sz w:val="36"/>
          <w:szCs w:val="36"/>
        </w:rPr>
      </w:pPr>
      <w:r>
        <w:rPr>
          <w:rFonts w:ascii="Times New Roman" w:eastAsia="仿宋_GB2312"/>
          <w:b/>
          <w:bCs/>
          <w:sz w:val="36"/>
          <w:szCs w:val="36"/>
        </w:rPr>
        <w:t>目录</w:t>
      </w:r>
    </w:p>
    <w:p>
      <w:pPr>
        <w:spacing w:line="580" w:lineRule="exact"/>
        <w:rPr>
          <w:rFonts w:ascii="Times New Roman" w:hAnsi="Times New Roman" w:eastAsia="仿宋_GB2312"/>
          <w:sz w:val="32"/>
          <w:szCs w:val="24"/>
        </w:rPr>
      </w:pP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1. 专业增设申请表</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2. 学校基本情况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3. 增设专业的理由和基础</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4. 增设专业人才培养方案</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5. 增设专业专任教师情况</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6. 增设专业计划开设的主要课程</w:t>
      </w:r>
    </w:p>
    <w:p>
      <w:pPr>
        <w:spacing w:line="580" w:lineRule="exact"/>
        <w:rPr>
          <w:rFonts w:ascii="Times New Roman" w:hAnsi="Times New Roman" w:eastAsia="仿宋_GB2312"/>
          <w:sz w:val="32"/>
          <w:szCs w:val="24"/>
        </w:rPr>
      </w:pPr>
      <w:r>
        <w:rPr>
          <w:rFonts w:ascii="Times New Roman" w:hAnsi="Times New Roman" w:eastAsia="仿宋_GB2312"/>
          <w:sz w:val="32"/>
          <w:szCs w:val="24"/>
        </w:rPr>
        <w:t xml:space="preserve">   7. 增设专业基本办学条件</w:t>
      </w:r>
    </w:p>
    <w:p>
      <w:pPr>
        <w:spacing w:line="580" w:lineRule="exact"/>
        <w:rPr>
          <w:rFonts w:ascii="Times New Roman" w:hAnsi="Times New Roman" w:eastAsia="仿宋_GB2312"/>
          <w:sz w:val="32"/>
          <w:szCs w:val="24"/>
        </w:rPr>
      </w:pPr>
    </w:p>
    <w:p>
      <w:pPr>
        <w:spacing w:line="580" w:lineRule="exact"/>
        <w:rPr>
          <w:rFonts w:ascii="Times New Roman" w:hAnsi="Times New Roman"/>
          <w:sz w:val="32"/>
          <w:szCs w:val="24"/>
        </w:rPr>
      </w:pPr>
    </w:p>
    <w:p>
      <w:pPr>
        <w:spacing w:line="580" w:lineRule="exact"/>
        <w:rPr>
          <w:rFonts w:ascii="Times New Roman" w:hAnsi="Times New Roman"/>
          <w:szCs w:val="24"/>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jc w:val="center"/>
        <w:rPr>
          <w:rFonts w:ascii="Times New Roman" w:hAnsi="Times New Roman" w:eastAsia="仿宋_GB2312"/>
          <w:b/>
          <w:bCs/>
          <w:spacing w:val="100"/>
          <w:sz w:val="32"/>
          <w:szCs w:val="32"/>
        </w:rPr>
      </w:pPr>
    </w:p>
    <w:p>
      <w:pPr>
        <w:spacing w:line="580" w:lineRule="exact"/>
        <w:jc w:val="center"/>
        <w:rPr>
          <w:rFonts w:ascii="Times New Roman" w:hAnsi="Times New Roman" w:eastAsia="仿宋_GB2312"/>
          <w:b/>
          <w:bCs/>
          <w:spacing w:val="100"/>
          <w:sz w:val="32"/>
          <w:szCs w:val="32"/>
        </w:rPr>
      </w:pPr>
      <w:r>
        <w:rPr>
          <w:rFonts w:ascii="Times New Roman" w:eastAsia="仿宋_GB2312"/>
          <w:b/>
          <w:bCs/>
          <w:spacing w:val="100"/>
          <w:sz w:val="32"/>
          <w:szCs w:val="32"/>
        </w:rPr>
        <w:t>填表说明</w:t>
      </w:r>
    </w:p>
    <w:p>
      <w:pPr>
        <w:spacing w:line="580" w:lineRule="exact"/>
        <w:jc w:val="center"/>
        <w:rPr>
          <w:rFonts w:ascii="Times New Roman" w:hAnsi="Times New Roman" w:eastAsia="仿宋_GB2312"/>
          <w:spacing w:val="100"/>
          <w:sz w:val="32"/>
          <w:szCs w:val="32"/>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1.申请表限用A4纸张打印并装订成册（各专业分别装订）;</w:t>
      </w:r>
    </w:p>
    <w:p>
      <w:pPr>
        <w:spacing w:line="560" w:lineRule="exact"/>
        <w:rPr>
          <w:rFonts w:ascii="Times New Roman" w:hAnsi="Times New Roman"/>
        </w:rPr>
      </w:pPr>
      <w:r>
        <w:rPr>
          <w:rFonts w:ascii="Times New Roman" w:hAnsi="Times New Roman" w:eastAsia="仿宋_GB2312"/>
          <w:sz w:val="32"/>
          <w:szCs w:val="32"/>
        </w:rPr>
        <w:t>2.在学校办学基本类型对应的方框中画“√”;</w:t>
      </w:r>
    </w:p>
    <w:p>
      <w:pPr>
        <w:spacing w:line="560" w:lineRule="exact"/>
        <w:rPr>
          <w:rFonts w:ascii="Times New Roman" w:hAnsi="Times New Roman" w:eastAsia="仿宋_GB2312"/>
          <w:sz w:val="32"/>
          <w:szCs w:val="32"/>
        </w:rPr>
      </w:pPr>
      <w:r>
        <w:rPr>
          <w:rFonts w:ascii="Times New Roman" w:hAnsi="Times New Roman" w:eastAsia="仿宋_GB2312"/>
          <w:sz w:val="32"/>
          <w:szCs w:val="32"/>
        </w:rPr>
        <w:t>3.所有表格均可另加页;</w:t>
      </w:r>
    </w:p>
    <w:p>
      <w:pPr>
        <w:spacing w:line="560" w:lineRule="exact"/>
        <w:rPr>
          <w:rFonts w:ascii="Times New Roman" w:hAnsi="Times New Roman"/>
          <w:sz w:val="30"/>
          <w:szCs w:val="30"/>
        </w:rPr>
      </w:pPr>
      <w:r>
        <w:rPr>
          <w:rFonts w:ascii="Times New Roman" w:hAnsi="Times New Roman" w:eastAsia="仿宋_GB2312"/>
          <w:sz w:val="32"/>
          <w:szCs w:val="32"/>
        </w:rPr>
        <w:t>4.本表内容应真实、准确。</w:t>
      </w:r>
    </w:p>
    <w:p>
      <w:pPr>
        <w:spacing w:line="56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line="580" w:lineRule="exact"/>
        <w:rPr>
          <w:rFonts w:ascii="Times New Roman" w:hAnsi="Times New Roman"/>
          <w:sz w:val="30"/>
          <w:szCs w:val="30"/>
        </w:rPr>
      </w:pPr>
    </w:p>
    <w:p>
      <w:pPr>
        <w:spacing w:after="156" w:afterLines="50" w:line="580" w:lineRule="exact"/>
        <w:jc w:val="center"/>
        <w:rPr>
          <w:rFonts w:ascii="Times New Roman" w:hAnsi="Times New Roman" w:eastAsia="黑体"/>
          <w:bCs/>
          <w:sz w:val="32"/>
          <w:szCs w:val="24"/>
        </w:rPr>
      </w:pPr>
      <w:r>
        <w:rPr>
          <w:rFonts w:ascii="Times New Roman" w:hAnsi="Times New Roman" w:eastAsia="黑体"/>
          <w:bCs/>
          <w:sz w:val="32"/>
          <w:szCs w:val="24"/>
        </w:rPr>
        <w:t>专业增设申请表</w:t>
      </w:r>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2532"/>
        <w:gridCol w:w="1656"/>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专业代码</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670408</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专业名称</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体育运营与管理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培养层次</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专科</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学习形式</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开放教育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修业年限</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hint="eastAsia" w:ascii="Times New Roman" w:hAnsi="Times New Roman"/>
                <w:sz w:val="24"/>
                <w:szCs w:val="24"/>
              </w:rPr>
              <w:t>2.5年</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olor w:val="000000"/>
                <w:sz w:val="24"/>
                <w:szCs w:val="24"/>
              </w:rPr>
            </w:pPr>
            <w:r>
              <w:rPr>
                <w:rFonts w:ascii="Times New Roman"/>
                <w:color w:val="000000"/>
                <w:sz w:val="24"/>
                <w:szCs w:val="24"/>
              </w:rPr>
              <w:t>现有专业（个）</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宋体" w:hAnsi="宋体"/>
                <w:sz w:val="24"/>
                <w:szCs w:val="24"/>
              </w:rPr>
              <w:t>现有</w:t>
            </w:r>
            <w:r>
              <w:rPr>
                <w:rFonts w:ascii="Times New Roman" w:hAnsi="Times New Roman"/>
                <w:sz w:val="24"/>
                <w:szCs w:val="24"/>
              </w:rPr>
              <w:t>专业166个，其中专科专业121个，本科专业45个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学科门类（本科）或专业大类（专科）</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教育与体育</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本校已设的相近专业及开设年份</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体育教育（专），2015年</w:t>
            </w:r>
          </w:p>
          <w:p>
            <w:pPr>
              <w:spacing w:line="360" w:lineRule="exact"/>
              <w:jc w:val="center"/>
              <w:rPr>
                <w:rFonts w:ascii="Times New Roman" w:hAnsi="Times New Roman"/>
                <w:sz w:val="24"/>
                <w:szCs w:val="24"/>
              </w:rPr>
            </w:pPr>
            <w:r>
              <w:rPr>
                <w:rFonts w:hint="eastAsia" w:ascii="Times New Roman" w:hAnsi="Times New Roman"/>
                <w:sz w:val="24"/>
                <w:szCs w:val="24"/>
              </w:rPr>
              <w:t>社会体育（专），2016年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拟首次招生时间</w:t>
            </w:r>
          </w:p>
          <w:p>
            <w:pPr>
              <w:spacing w:line="360" w:lineRule="exact"/>
              <w:jc w:val="center"/>
              <w:rPr>
                <w:rFonts w:ascii="Times New Roman" w:hAnsi="Times New Roman"/>
                <w:sz w:val="24"/>
                <w:szCs w:val="24"/>
              </w:rPr>
            </w:pPr>
            <w:r>
              <w:rPr>
                <w:rFonts w:ascii="Times New Roman"/>
                <w:sz w:val="24"/>
                <w:szCs w:val="24"/>
              </w:rPr>
              <w:t>及招生数</w:t>
            </w:r>
          </w:p>
        </w:tc>
        <w:tc>
          <w:tcPr>
            <w:tcW w:w="2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2020年，150人</w:t>
            </w:r>
          </w:p>
        </w:tc>
        <w:tc>
          <w:tcPr>
            <w:tcW w:w="165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五年内计划</w:t>
            </w:r>
          </w:p>
          <w:p>
            <w:pPr>
              <w:spacing w:line="360" w:lineRule="exact"/>
              <w:jc w:val="center"/>
              <w:rPr>
                <w:rFonts w:ascii="Times New Roman" w:hAnsi="Times New Roman"/>
                <w:sz w:val="24"/>
                <w:szCs w:val="24"/>
              </w:rPr>
            </w:pPr>
            <w:r>
              <w:rPr>
                <w:rFonts w:ascii="Times New Roman"/>
                <w:sz w:val="24"/>
                <w:szCs w:val="24"/>
              </w:rPr>
              <w:t>发展规模</w:t>
            </w:r>
          </w:p>
        </w:tc>
        <w:tc>
          <w:tcPr>
            <w:tcW w:w="284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hint="eastAsia" w:ascii="Times New Roman" w:hAnsi="Times New Roman"/>
                <w:sz w:val="24"/>
                <w:szCs w:val="24"/>
              </w:rPr>
              <w:t>1500人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1"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学校专业设置评议专家组织评议意见</w:t>
            </w:r>
          </w:p>
          <w:p>
            <w:pPr>
              <w:spacing w:line="360" w:lineRule="exact"/>
              <w:jc w:val="center"/>
              <w:rPr>
                <w:rFonts w:ascii="Times New Roman" w:hAnsi="Times New Roman"/>
                <w:sz w:val="24"/>
                <w:szCs w:val="24"/>
              </w:rPr>
            </w:pP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ind w:firstLine="3240" w:firstLineChars="1350"/>
              <w:rPr>
                <w:rFonts w:ascii="Times New Roman" w:hAnsi="Times New Roman"/>
                <w:sz w:val="24"/>
                <w:szCs w:val="24"/>
              </w:rPr>
            </w:pPr>
            <w:r>
              <w:rPr>
                <w:rFonts w:ascii="Times New Roman"/>
                <w:sz w:val="24"/>
                <w:szCs w:val="24"/>
              </w:rPr>
              <w:t>（主任签字）</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p>
            <w:pPr>
              <w:spacing w:line="360" w:lineRule="exact"/>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3"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 w:val="24"/>
                <w:szCs w:val="24"/>
              </w:rPr>
            </w:pPr>
            <w:r>
              <w:rPr>
                <w:rFonts w:ascii="Times New Roman"/>
                <w:sz w:val="24"/>
                <w:szCs w:val="24"/>
              </w:rPr>
              <w:t>学校意见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ind w:firstLine="3360" w:firstLineChars="1400"/>
              <w:rPr>
                <w:rFonts w:ascii="Times New Roman" w:hAnsi="Times New Roman"/>
                <w:sz w:val="24"/>
                <w:szCs w:val="24"/>
              </w:rPr>
            </w:pPr>
          </w:p>
          <w:p>
            <w:pPr>
              <w:spacing w:line="360" w:lineRule="exact"/>
              <w:rPr>
                <w:rFonts w:ascii="Times New Roman" w:hAnsi="Times New Roman"/>
                <w:sz w:val="24"/>
                <w:szCs w:val="24"/>
              </w:rPr>
            </w:pPr>
            <w:r>
              <w:rPr>
                <w:rFonts w:ascii="Times New Roman"/>
                <w:sz w:val="24"/>
                <w:szCs w:val="24"/>
              </w:rPr>
              <w:t>（校长签字）</w:t>
            </w:r>
            <w:r>
              <w:rPr>
                <w:rFonts w:ascii="Times New Roman" w:hAnsi="Times New Roman"/>
                <w:sz w:val="24"/>
                <w:szCs w:val="24"/>
              </w:rPr>
              <w:t xml:space="preserve">                   </w:t>
            </w:r>
            <w:r>
              <w:rPr>
                <w:rFonts w:ascii="Times New Roman"/>
                <w:sz w:val="24"/>
                <w:szCs w:val="24"/>
              </w:rPr>
              <w:t>学校（盖章）：</w:t>
            </w:r>
          </w:p>
          <w:p>
            <w:pPr>
              <w:spacing w:line="360" w:lineRule="exact"/>
              <w:rPr>
                <w:rFonts w:ascii="Times New Roman" w:hAnsi="Times New Roman"/>
                <w:sz w:val="24"/>
                <w:szCs w:val="24"/>
              </w:rPr>
            </w:pPr>
          </w:p>
          <w:p>
            <w:pPr>
              <w:spacing w:line="360" w:lineRule="exact"/>
              <w:jc w:val="center"/>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5"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szCs w:val="24"/>
              </w:rPr>
            </w:pPr>
            <w:r>
              <w:rPr>
                <w:rFonts w:ascii="Times New Roman" w:hAnsi="宋体"/>
                <w:sz w:val="24"/>
                <w:szCs w:val="24"/>
              </w:rPr>
              <w:t>省级</w:t>
            </w:r>
          </w:p>
          <w:p>
            <w:pPr>
              <w:jc w:val="center"/>
              <w:rPr>
                <w:rFonts w:ascii="Times New Roman" w:hAnsi="Times New Roman"/>
                <w:sz w:val="24"/>
                <w:szCs w:val="24"/>
              </w:rPr>
            </w:pPr>
            <w:r>
              <w:rPr>
                <w:rFonts w:ascii="Times New Roman" w:hAnsi="宋体"/>
                <w:sz w:val="24"/>
                <w:szCs w:val="24"/>
              </w:rPr>
              <w:t>教育</w:t>
            </w:r>
          </w:p>
          <w:p>
            <w:pPr>
              <w:jc w:val="center"/>
              <w:rPr>
                <w:rFonts w:ascii="Times New Roman" w:hAnsi="Times New Roman"/>
                <w:sz w:val="24"/>
                <w:szCs w:val="24"/>
              </w:rPr>
            </w:pPr>
            <w:r>
              <w:rPr>
                <w:rFonts w:ascii="Times New Roman" w:hAnsi="宋体"/>
                <w:sz w:val="24"/>
                <w:szCs w:val="24"/>
              </w:rPr>
              <w:t>行政</w:t>
            </w:r>
          </w:p>
          <w:p>
            <w:pPr>
              <w:jc w:val="center"/>
              <w:rPr>
                <w:rFonts w:ascii="Times New Roman" w:hAnsi="Times New Roman"/>
                <w:sz w:val="24"/>
                <w:szCs w:val="24"/>
              </w:rPr>
            </w:pPr>
            <w:r>
              <w:rPr>
                <w:rFonts w:ascii="Times New Roman" w:hAnsi="宋体"/>
                <w:sz w:val="24"/>
                <w:szCs w:val="24"/>
              </w:rPr>
              <w:t>部门</w:t>
            </w:r>
          </w:p>
          <w:p>
            <w:pPr>
              <w:spacing w:line="360" w:lineRule="exact"/>
              <w:jc w:val="center"/>
              <w:rPr>
                <w:rFonts w:ascii="Times New Roman" w:hAnsi="Times New Roman"/>
                <w:sz w:val="24"/>
                <w:szCs w:val="24"/>
              </w:rPr>
            </w:pPr>
            <w:r>
              <w:rPr>
                <w:rFonts w:ascii="Times New Roman" w:hAnsi="宋体"/>
                <w:sz w:val="24"/>
                <w:szCs w:val="24"/>
              </w:rPr>
              <w:t>意见</w:t>
            </w:r>
          </w:p>
        </w:tc>
        <w:tc>
          <w:tcPr>
            <w:tcW w:w="7030"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盖章：</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Times New Roman"/>
                <w:sz w:val="24"/>
                <w:szCs w:val="24"/>
              </w:rPr>
              <w:t xml:space="preserve">                                </w:t>
            </w:r>
            <w:r>
              <w:rPr>
                <w:rFonts w:ascii="Times New Roman"/>
                <w:sz w:val="24"/>
                <w:szCs w:val="24"/>
              </w:rPr>
              <w:t>年</w:t>
            </w:r>
            <w:r>
              <w:rPr>
                <w:rFonts w:ascii="Times New Roman" w:hAnsi="Times New Roman"/>
                <w:sz w:val="24"/>
                <w:szCs w:val="24"/>
              </w:rPr>
              <w:t xml:space="preserve">   </w:t>
            </w:r>
            <w:r>
              <w:rPr>
                <w:rFonts w:ascii="Times New Roman"/>
                <w:sz w:val="24"/>
                <w:szCs w:val="24"/>
              </w:rPr>
              <w:t>月</w:t>
            </w:r>
            <w:r>
              <w:rPr>
                <w:rFonts w:ascii="Times New Roman" w:hAnsi="Times New Roman"/>
                <w:sz w:val="24"/>
                <w:szCs w:val="24"/>
              </w:rPr>
              <w:t xml:space="preserve">   </w:t>
            </w:r>
            <w:r>
              <w:rPr>
                <w:rFonts w:ascii="Times New Roman"/>
                <w:sz w:val="24"/>
                <w:szCs w:val="24"/>
              </w:rPr>
              <w:t>日</w:t>
            </w:r>
          </w:p>
        </w:tc>
      </w:tr>
    </w:tbl>
    <w:p>
      <w:pPr>
        <w:spacing w:line="580" w:lineRule="exact"/>
        <w:rPr>
          <w:rFonts w:ascii="Times New Roman" w:hAnsi="Times New Roman" w:eastAsia="华文楷体"/>
          <w:b/>
          <w:sz w:val="24"/>
          <w:szCs w:val="24"/>
        </w:rPr>
      </w:pPr>
      <w:r>
        <w:rPr>
          <w:rFonts w:ascii="Times New Roman" w:hAnsi="华文楷体" w:eastAsia="华文楷体"/>
          <w:sz w:val="24"/>
          <w:szCs w:val="24"/>
        </w:rPr>
        <w:t>注：专业代码按《办法》规定的专业目录填写。</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32"/>
          <w:szCs w:val="32"/>
        </w:rPr>
        <w:t>学校基本情况</w:t>
      </w:r>
    </w:p>
    <w:tbl>
      <w:tblPr>
        <w:tblStyle w:val="9"/>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709"/>
        <w:gridCol w:w="1276"/>
        <w:gridCol w:w="2835"/>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学校名称</w:t>
            </w:r>
          </w:p>
        </w:tc>
        <w:tc>
          <w:tcPr>
            <w:tcW w:w="170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hAnsi="Times New Roman" w:eastAsiaTheme="minorEastAsia"/>
                <w:color w:val="000000" w:themeColor="text1"/>
                <w:sz w:val="24"/>
                <w:szCs w:val="24"/>
                <w14:textFill>
                  <w14:solidFill>
                    <w14:schemeClr w14:val="tx1"/>
                  </w14:solidFill>
                </w14:textFill>
              </w:rPr>
              <w:t>国家开放大学</w:t>
            </w:r>
          </w:p>
        </w:tc>
        <w:tc>
          <w:tcPr>
            <w:tcW w:w="127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学校地址</w:t>
            </w:r>
          </w:p>
        </w:tc>
        <w:tc>
          <w:tcPr>
            <w:tcW w:w="420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hAnsi="Times New Roman" w:eastAsiaTheme="minorEastAsia"/>
                <w:color w:val="000000" w:themeColor="text1"/>
                <w:sz w:val="24"/>
                <w:szCs w:val="24"/>
                <w14:textFill>
                  <w14:solidFill>
                    <w14:schemeClr w14:val="tx1"/>
                  </w14:solidFill>
                </w14:textFill>
              </w:rPr>
              <w:t>北京市海淀区复兴路75号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邮政编码</w:t>
            </w:r>
          </w:p>
        </w:tc>
        <w:tc>
          <w:tcPr>
            <w:tcW w:w="170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100039</w:t>
            </w:r>
          </w:p>
        </w:tc>
        <w:tc>
          <w:tcPr>
            <w:tcW w:w="127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校园网址</w:t>
            </w:r>
          </w:p>
        </w:tc>
        <w:tc>
          <w:tcPr>
            <w:tcW w:w="420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http://www.ouchn.edu.cn/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在校生总数</w:t>
            </w:r>
          </w:p>
        </w:tc>
        <w:tc>
          <w:tcPr>
            <w:tcW w:w="298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Theme="minorEastAsia"/>
                <w:color w:val="000000" w:themeColor="text1"/>
                <w:sz w:val="24"/>
                <w:szCs w:val="24"/>
                <w14:textFill>
                  <w14:solidFill>
                    <w14:schemeClr w14:val="tx1"/>
                  </w14:solidFill>
                </w14:textFill>
              </w:rPr>
              <w:t>431.7</w:t>
            </w:r>
            <w:r>
              <w:rPr>
                <w:rFonts w:ascii="Times New Roman" w:hAnsi="Times New Roman" w:eastAsiaTheme="minorEastAsia"/>
                <w:color w:val="000000" w:themeColor="text1"/>
                <w:sz w:val="24"/>
                <w:szCs w:val="24"/>
                <w14:textFill>
                  <w14:solidFill>
                    <w14:schemeClr w14:val="tx1"/>
                  </w14:solidFill>
                </w14:textFill>
              </w:rPr>
              <w:t>万</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黑体"/>
                <w:sz w:val="24"/>
                <w:szCs w:val="24"/>
              </w:rPr>
            </w:pPr>
            <w:r>
              <w:rPr>
                <w:rFonts w:ascii="Times New Roman"/>
                <w:sz w:val="24"/>
                <w:szCs w:val="24"/>
              </w:rPr>
              <w:t>专业平均年招生规模</w:t>
            </w:r>
          </w:p>
        </w:tc>
        <w:tc>
          <w:tcPr>
            <w:tcW w:w="136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黑体"/>
                <w:sz w:val="24"/>
                <w:szCs w:val="24"/>
              </w:rPr>
            </w:pPr>
            <w:r>
              <w:rPr>
                <w:rFonts w:hint="eastAsia" w:ascii="Times New Roman" w:hAnsi="Times New Roman" w:eastAsiaTheme="minorEastAsia"/>
                <w:color w:val="000000" w:themeColor="text1"/>
                <w:sz w:val="24"/>
                <w:szCs w:val="24"/>
                <w14:textFill>
                  <w14:solidFill>
                    <w14:schemeClr w14:val="tx1"/>
                  </w14:solidFill>
                </w14:textFill>
              </w:rPr>
              <w:t>11199人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ascii="Times New Roman"/>
                <w:sz w:val="24"/>
                <w:szCs w:val="24"/>
              </w:rPr>
              <w:t>学校类型</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Theme="minorEastAsia"/>
                <w:sz w:val="24"/>
                <w:szCs w:val="24"/>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 eq \o\ac(□,</w:instrText>
            </w:r>
            <w:r>
              <w:rPr>
                <w:rFonts w:hint="eastAsia" w:ascii="宋体" w:hAnsiTheme="minorEastAsia" w:eastAsiaTheme="minorEastAsia" w:cstheme="minorEastAsia"/>
                <w:bCs/>
                <w:color w:val="000000" w:themeColor="text1"/>
                <w:position w:val="2"/>
                <w:sz w:val="16"/>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instrText xml:space="preserve">)</w:instrText>
            </w:r>
            <w:r>
              <w:rPr>
                <w:rFonts w:hint="eastAsia" w:asciiTheme="minorEastAsia" w:hAnsiTheme="minorEastAsia" w:eastAsiaTheme="minorEastAsia" w:cstheme="minorEastAsia"/>
                <w:bCs/>
                <w:color w:val="000000" w:themeColor="text1"/>
                <w:sz w:val="24"/>
                <w:szCs w:val="24"/>
                <w14:textFill>
                  <w14:solidFill>
                    <w14:schemeClr w14:val="tx1"/>
                  </w14:solidFill>
                </w14:textFill>
              </w:rPr>
              <w:fldChar w:fldCharType="end"/>
            </w:r>
            <w:r>
              <w:rPr>
                <w:rFonts w:ascii="Times New Roman" w:hAnsiTheme="minorEastAsia" w:eastAsiaTheme="minorEastAsia"/>
                <w:sz w:val="24"/>
                <w:szCs w:val="24"/>
              </w:rPr>
              <w:t>开放大学</w:t>
            </w:r>
            <w:r>
              <w:rPr>
                <w:rFonts w:ascii="Times New Roman" w:hAnsi="Times New Roman" w:eastAsiaTheme="minorEastAsia"/>
                <w:sz w:val="24"/>
                <w:szCs w:val="24"/>
              </w:rPr>
              <w:t xml:space="preserve">   </w:t>
            </w:r>
            <w:r>
              <w:rPr>
                <w:rFonts w:hint="eastAsia" w:asciiTheme="minorEastAsia" w:hAnsiTheme="minorEastAsia" w:eastAsiaTheme="minorEastAsia"/>
                <w:sz w:val="24"/>
                <w:szCs w:val="24"/>
              </w:rPr>
              <w:t>□</w:t>
            </w:r>
            <w:r>
              <w:rPr>
                <w:rFonts w:ascii="Times New Roman" w:hAnsiTheme="minorEastAsia" w:eastAsiaTheme="minorEastAsia"/>
                <w:sz w:val="24"/>
                <w:szCs w:val="24"/>
              </w:rPr>
              <w:t>独立设置成人高校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ascii="Times New Roman"/>
                <w:sz w:val="24"/>
                <w:szCs w:val="24"/>
              </w:rPr>
              <w:t>已有学科门类或专业大类</w:t>
            </w:r>
          </w:p>
        </w:tc>
        <w:tc>
          <w:tcPr>
            <w:tcW w:w="718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80"/>
              <w:rPr>
                <w:rFonts w:ascii="Times New Roman" w:hAnsi="Times New Roman" w:eastAsiaTheme="minorEastAsia"/>
                <w:sz w:val="24"/>
                <w:szCs w:val="24"/>
              </w:rPr>
            </w:pPr>
            <w:r>
              <w:rPr>
                <w:rFonts w:ascii="Times New Roman" w:hAnsi="Times New Roman" w:eastAsiaTheme="minorEastAsia"/>
                <w:sz w:val="24"/>
                <w:szCs w:val="24"/>
              </w:rPr>
              <w:t>本科专业学科：经济学，管理学，法学，教育学，文学，理学，工学，农学，医学等9个学科</w:t>
            </w:r>
          </w:p>
          <w:p>
            <w:pPr>
              <w:spacing w:line="400" w:lineRule="exact"/>
              <w:ind w:firstLine="480"/>
              <w:jc w:val="left"/>
              <w:rPr>
                <w:sz w:val="24"/>
                <w:szCs w:val="24"/>
              </w:rPr>
            </w:pPr>
            <w:r>
              <w:rPr>
                <w:rFonts w:ascii="Times New Roman" w:hAnsi="Times New Roman" w:eastAsiaTheme="minorEastAsia"/>
                <w:sz w:val="24"/>
                <w:szCs w:val="24"/>
              </w:rPr>
              <w:t>专科专业大类：</w:t>
            </w:r>
            <w:r>
              <w:rPr>
                <w:rFonts w:ascii="Times New Roman" w:hAnsi="Times New Roman"/>
                <w:sz w:val="24"/>
                <w:szCs w:val="24"/>
              </w:rPr>
              <w:t>农林牧副渔、资源环境与安全、能源动力与材料、土木建筑、水利、装备制造、生物与化工、轻工纺织、食品药品与粮食、交通运输、电子信息、医药卫生、财经商贸、旅游、文化艺术、新闻传播、教育与体育、公安与司法、公共管理与服务等19个专业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ind w:right="-105"/>
              <w:rPr>
                <w:rFonts w:ascii="Times New Roman" w:hAnsi="Times New Roman"/>
                <w:sz w:val="24"/>
                <w:szCs w:val="24"/>
              </w:rPr>
            </w:pPr>
            <w:r>
              <w:rPr>
                <w:rFonts w:ascii="Times New Roman"/>
                <w:sz w:val="24"/>
                <w:szCs w:val="24"/>
              </w:rPr>
              <w:t>专任教师</w:t>
            </w:r>
          </w:p>
          <w:p>
            <w:pPr>
              <w:spacing w:line="400" w:lineRule="exact"/>
              <w:jc w:val="center"/>
              <w:rPr>
                <w:rFonts w:ascii="Times New Roman" w:hAnsi="Times New Roman" w:eastAsia="黑体"/>
                <w:sz w:val="24"/>
                <w:szCs w:val="24"/>
              </w:rPr>
            </w:pPr>
            <w:r>
              <w:rPr>
                <w:rFonts w:ascii="Times New Roman"/>
                <w:sz w:val="24"/>
                <w:szCs w:val="24"/>
              </w:rPr>
              <w:t>总数（人）</w:t>
            </w:r>
          </w:p>
        </w:tc>
        <w:tc>
          <w:tcPr>
            <w:tcW w:w="298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黑体"/>
                <w:sz w:val="24"/>
                <w:szCs w:val="24"/>
              </w:rPr>
              <w:t>155</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ascii="Times New Roman"/>
                <w:sz w:val="24"/>
                <w:szCs w:val="24"/>
              </w:rPr>
              <w:t>专任教师中副教授及以上职称教师所占比例</w:t>
            </w:r>
          </w:p>
        </w:tc>
        <w:tc>
          <w:tcPr>
            <w:tcW w:w="136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黑体"/>
                <w:sz w:val="24"/>
                <w:szCs w:val="24"/>
              </w:rPr>
            </w:pPr>
            <w:r>
              <w:rPr>
                <w:rFonts w:hint="eastAsia" w:ascii="Times New Roman" w:hAnsi="Times New Roman" w:eastAsia="黑体"/>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0"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ascii="Times New Roman"/>
                <w:sz w:val="24"/>
                <w:szCs w:val="24"/>
              </w:rPr>
              <w:t>学校简介和</w:t>
            </w:r>
          </w:p>
          <w:p>
            <w:pPr>
              <w:spacing w:line="400" w:lineRule="exact"/>
              <w:jc w:val="center"/>
              <w:rPr>
                <w:rFonts w:ascii="Times New Roman" w:hAnsi="Times New Roman"/>
                <w:sz w:val="24"/>
                <w:szCs w:val="24"/>
              </w:rPr>
            </w:pPr>
            <w:r>
              <w:rPr>
                <w:rFonts w:ascii="Times New Roman"/>
                <w:sz w:val="24"/>
                <w:szCs w:val="24"/>
              </w:rPr>
              <w:t>历史沿革</w:t>
            </w:r>
          </w:p>
          <w:p>
            <w:pPr>
              <w:spacing w:line="400" w:lineRule="exact"/>
              <w:jc w:val="center"/>
              <w:rPr>
                <w:rFonts w:ascii="Times New Roman" w:hAnsi="Times New Roman" w:eastAsia="黑体"/>
                <w:sz w:val="24"/>
                <w:szCs w:val="24"/>
              </w:rPr>
            </w:pPr>
            <w:r>
              <w:rPr>
                <w:rFonts w:ascii="Times New Roman"/>
                <w:sz w:val="24"/>
                <w:szCs w:val="24"/>
              </w:rPr>
              <w:t>（</w:t>
            </w:r>
            <w:r>
              <w:rPr>
                <w:rFonts w:ascii="Times New Roman" w:hAnsi="Times New Roman"/>
                <w:sz w:val="24"/>
                <w:szCs w:val="24"/>
              </w:rPr>
              <w:t>300</w:t>
            </w:r>
            <w:r>
              <w:rPr>
                <w:rFonts w:ascii="Times New Roman"/>
                <w:sz w:val="24"/>
                <w:szCs w:val="24"/>
              </w:rPr>
              <w:t>字以内）</w:t>
            </w:r>
          </w:p>
        </w:tc>
        <w:tc>
          <w:tcPr>
            <w:tcW w:w="7187" w:type="dxa"/>
            <w:gridSpan w:val="4"/>
            <w:tcBorders>
              <w:top w:val="single" w:color="auto" w:sz="4" w:space="0"/>
              <w:left w:val="single" w:color="auto" w:sz="4" w:space="0"/>
              <w:bottom w:val="single" w:color="auto" w:sz="4" w:space="0"/>
              <w:right w:val="single" w:color="auto" w:sz="4" w:space="0"/>
            </w:tcBorders>
          </w:tcPr>
          <w:p>
            <w:pPr>
              <w:spacing w:line="400" w:lineRule="exact"/>
              <w:ind w:firstLine="480"/>
              <w:rPr>
                <w:rFonts w:ascii="Arial" w:hAnsi="Arial" w:cs="Arial" w:eastAsiaTheme="minorEastAsia"/>
                <w:kern w:val="0"/>
                <w:sz w:val="24"/>
                <w:szCs w:val="24"/>
              </w:rPr>
            </w:pPr>
            <w:r>
              <w:rPr>
                <w:rFonts w:hint="eastAsia" w:asciiTheme="minorEastAsia" w:hAnsiTheme="minorEastAsia" w:eastAsiaTheme="minorEastAsia" w:cstheme="minorEastAsia"/>
                <w:sz w:val="24"/>
                <w:szCs w:val="24"/>
              </w:rPr>
              <w:t>国家开放大学是在中央广播电视大学和地方广播电视大学的基础上组建，以现代信息技术为支撑，办学网络立体覆盖全国城乡，学历与非学历教育并举，面向全体社会成员，</w:t>
            </w:r>
            <w:r>
              <w:rPr>
                <w:rFonts w:ascii="Arial" w:hAnsi="Arial" w:cs="Arial" w:eastAsiaTheme="minorEastAsia"/>
                <w:kern w:val="0"/>
                <w:sz w:val="24"/>
                <w:szCs w:val="24"/>
              </w:rPr>
              <w:t>实施远程</w:t>
            </w:r>
            <w:r>
              <w:fldChar w:fldCharType="begin"/>
            </w:r>
            <w:r>
              <w:instrText xml:space="preserve"> HYPERLINK "https://baike.baidu.com/item/%E5%BC%80%E6%94%BE%E6%95%99%E8%82%B2" </w:instrText>
            </w:r>
            <w:r>
              <w:fldChar w:fldCharType="separate"/>
            </w:r>
            <w:r>
              <w:rPr>
                <w:rFonts w:ascii="Arial" w:hAnsi="Arial" w:cs="Arial" w:eastAsiaTheme="minorEastAsia"/>
                <w:kern w:val="0"/>
                <w:sz w:val="24"/>
                <w:szCs w:val="24"/>
              </w:rPr>
              <w:t>开放教育</w:t>
            </w:r>
            <w:r>
              <w:rPr>
                <w:rFonts w:ascii="Arial" w:hAnsi="Arial" w:cs="Arial" w:eastAsiaTheme="minorEastAsia"/>
                <w:kern w:val="0"/>
                <w:sz w:val="24"/>
                <w:szCs w:val="24"/>
              </w:rPr>
              <w:fldChar w:fldCharType="end"/>
            </w:r>
            <w:r>
              <w:rPr>
                <w:rFonts w:ascii="Arial" w:hAnsi="Arial" w:cs="Arial" w:eastAsiaTheme="minorEastAsia"/>
                <w:kern w:val="0"/>
                <w:sz w:val="24"/>
                <w:szCs w:val="24"/>
              </w:rPr>
              <w:t>的新型高等学校</w:t>
            </w:r>
            <w:r>
              <w:rPr>
                <w:rFonts w:ascii="Times New Roman" w:hAnsi="Times New Roman" w:eastAsiaTheme="minorEastAsia"/>
                <w:kern w:val="0"/>
                <w:sz w:val="24"/>
                <w:szCs w:val="24"/>
              </w:rPr>
              <w:t>。</w:t>
            </w:r>
            <w:r>
              <w:rPr>
                <w:rFonts w:ascii="Times New Roman" w:hAnsi="Times New Roman"/>
                <w:kern w:val="0"/>
                <w:sz w:val="24"/>
                <w:szCs w:val="24"/>
              </w:rPr>
              <w:t>2012年，国家开放大学的组建成立，标志着广播电视大学系统在新的历史起点上踏上了新的征途。</w:t>
            </w:r>
            <w:r>
              <w:rPr>
                <w:rFonts w:hint="eastAsia" w:ascii="MS Mincho" w:hAnsi="MS Mincho" w:eastAsia="MS Mincho" w:cs="MS Mincho"/>
                <w:kern w:val="0"/>
                <w:sz w:val="24"/>
                <w:szCs w:val="24"/>
              </w:rPr>
              <w:t> </w:t>
            </w:r>
            <w:r>
              <w:rPr>
                <w:rFonts w:ascii="Times New Roman" w:hAnsi="Times New Roman" w:eastAsiaTheme="minorEastAsia"/>
                <w:sz w:val="24"/>
                <w:szCs w:val="24"/>
              </w:rPr>
              <w:t>截止目前，国家开放大学注册在学生431.7万，其中本科104.1万，专科327.6万，包括农民学生20.7万，士官学生13.8万，残疾人学生4553名。</w:t>
            </w:r>
          </w:p>
          <w:p>
            <w:pPr>
              <w:spacing w:line="400" w:lineRule="exact"/>
              <w:ind w:firstLine="480"/>
              <w:rPr>
                <w:rFonts w:ascii="Times New Roman" w:hAnsi="Times New Roman" w:eastAsia="黑体"/>
                <w:sz w:val="24"/>
                <w:szCs w:val="24"/>
              </w:rPr>
            </w:pPr>
            <w:r>
              <w:rPr>
                <w:rFonts w:hint="eastAsia" w:asciiTheme="minorEastAsia" w:hAnsiTheme="minorEastAsia" w:eastAsiaTheme="minorEastAsia" w:cstheme="minorEastAsia"/>
                <w:kern w:val="0"/>
                <w:sz w:val="24"/>
                <w:szCs w:val="24"/>
              </w:rPr>
              <w:t>国家开放大学强调“开放、责任、质量、多样化、国际化”的办学理念，</w:t>
            </w:r>
            <w:r>
              <w:rPr>
                <w:rFonts w:ascii="Arial" w:hAnsi="Arial" w:cs="Arial" w:eastAsiaTheme="minorEastAsia"/>
                <w:kern w:val="0"/>
                <w:sz w:val="24"/>
                <w:szCs w:val="24"/>
              </w:rPr>
              <w:t>强调优质教育资源的集聚、整合和共享，强调以</w:t>
            </w:r>
            <w:r>
              <w:fldChar w:fldCharType="begin"/>
            </w:r>
            <w:r>
              <w:instrText xml:space="preserve"> HYPERLINK "https://baike.baidu.com/item/%E7%8E%B0%E4%BB%A3%E4%BF%A1%E6%81%AF%E6%8A%80%E6%9C%AF/2426261" </w:instrText>
            </w:r>
            <w:r>
              <w:fldChar w:fldCharType="separate"/>
            </w:r>
            <w:r>
              <w:rPr>
                <w:rFonts w:ascii="Arial" w:hAnsi="Arial" w:cs="Arial" w:eastAsiaTheme="minorEastAsia"/>
                <w:kern w:val="0"/>
                <w:sz w:val="24"/>
                <w:szCs w:val="24"/>
              </w:rPr>
              <w:t>现代信息技术</w:t>
            </w:r>
            <w:r>
              <w:rPr>
                <w:rFonts w:ascii="Arial" w:hAnsi="Arial" w:cs="Arial" w:eastAsiaTheme="minorEastAsia"/>
                <w:kern w:val="0"/>
                <w:sz w:val="24"/>
                <w:szCs w:val="24"/>
              </w:rPr>
              <w:fldChar w:fldCharType="end"/>
            </w:r>
            <w:r>
              <w:rPr>
                <w:rFonts w:ascii="Arial" w:hAnsi="Arial" w:cs="Arial" w:eastAsiaTheme="minorEastAsia"/>
                <w:kern w:val="0"/>
                <w:sz w:val="24"/>
                <w:szCs w:val="24"/>
              </w:rPr>
              <w:t>为支撑，探索现代信息技术与教育的深度融合。</w:t>
            </w:r>
            <w:r>
              <w:rPr>
                <w:rFonts w:hint="eastAsia" w:asciiTheme="minorEastAsia" w:hAnsiTheme="minorEastAsia" w:eastAsiaTheme="minorEastAsia" w:cstheme="minorEastAsia"/>
                <w:kern w:val="0"/>
                <w:sz w:val="24"/>
                <w:szCs w:val="24"/>
              </w:rPr>
              <w:t>推进现代科技与教育的深度融合，搭建终身学习“立交桥”，适应国家经济社会发展和人的全面发展需要，促进终身教育体系建设，促进全民学习、终身学习的学习型社会形成。</w:t>
            </w:r>
          </w:p>
        </w:tc>
      </w:tr>
    </w:tbl>
    <w:p>
      <w:pPr>
        <w:spacing w:line="580" w:lineRule="exact"/>
        <w:rPr>
          <w:rFonts w:ascii="Times New Roman" w:hAnsi="Times New Roman" w:eastAsia="黑体"/>
          <w:bCs/>
          <w:sz w:val="32"/>
          <w:szCs w:val="32"/>
        </w:rPr>
      </w:pPr>
      <w:r>
        <w:rPr>
          <w:rFonts w:ascii="Times New Roman" w:hAnsi="华文楷体" w:eastAsia="华文楷体"/>
          <w:sz w:val="24"/>
          <w:szCs w:val="24"/>
        </w:rPr>
        <w:t>注：专业平均年招生规模</w:t>
      </w:r>
      <w:r>
        <w:rPr>
          <w:rFonts w:ascii="Times New Roman" w:hAnsi="Times New Roman" w:eastAsia="华文楷体"/>
          <w:sz w:val="24"/>
          <w:szCs w:val="24"/>
        </w:rPr>
        <w:t>=</w:t>
      </w:r>
      <w:r>
        <w:rPr>
          <w:rFonts w:ascii="Times New Roman" w:hAnsi="华文楷体" w:eastAsia="华文楷体"/>
          <w:sz w:val="24"/>
          <w:szCs w:val="24"/>
        </w:rPr>
        <w:t>学校年招生数</w:t>
      </w:r>
      <w:r>
        <w:rPr>
          <w:rFonts w:ascii="Times New Roman" w:hAnsi="Times New Roman" w:eastAsia="华文楷体"/>
          <w:sz w:val="24"/>
          <w:szCs w:val="24"/>
        </w:rPr>
        <w:t>÷</w:t>
      </w:r>
      <w:r>
        <w:rPr>
          <w:rFonts w:ascii="Times New Roman" w:hAnsi="华文楷体" w:eastAsia="华文楷体"/>
          <w:sz w:val="24"/>
          <w:szCs w:val="24"/>
        </w:rPr>
        <w:t>学校现有专业总数</w:t>
      </w:r>
      <w:r>
        <w:rPr>
          <w:rFonts w:ascii="Times New Roman" w:hAnsi="Times New Roman" w:eastAsia="黑体"/>
          <w:bCs/>
          <w:sz w:val="32"/>
          <w:szCs w:val="32"/>
        </w:rPr>
        <w:t xml:space="preserve"> </w:t>
      </w:r>
    </w:p>
    <w:p>
      <w:pPr>
        <w:spacing w:after="156" w:afterLines="50" w:line="580" w:lineRule="exact"/>
        <w:jc w:val="center"/>
        <w:rPr>
          <w:rFonts w:ascii="Times New Roman" w:hAnsi="Times New Roman" w:eastAsia="黑体"/>
          <w:sz w:val="32"/>
          <w:szCs w:val="32"/>
        </w:rPr>
      </w:pPr>
      <w:r>
        <w:rPr>
          <w:rFonts w:ascii="Times New Roman" w:hAnsi="Times New Roman" w:eastAsia="黑体"/>
          <w:sz w:val="24"/>
          <w:szCs w:val="24"/>
        </w:rPr>
        <w:br w:type="page"/>
      </w:r>
      <w:r>
        <w:rPr>
          <w:rFonts w:ascii="Times New Roman" w:hAnsi="Times New Roman" w:eastAsia="黑体"/>
          <w:sz w:val="32"/>
          <w:szCs w:val="32"/>
        </w:rPr>
        <w:t>增设专业的理由和基础</w:t>
      </w:r>
    </w:p>
    <w:tbl>
      <w:tblPr>
        <w:tblStyle w:val="9"/>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52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66" w:hRule="atLeast"/>
          <w:jc w:val="center"/>
        </w:trPr>
        <w:tc>
          <w:tcPr>
            <w:tcW w:w="9000" w:type="dxa"/>
            <w:tcBorders>
              <w:top w:val="single" w:color="auto" w:sz="4" w:space="0"/>
              <w:left w:val="single" w:color="auto" w:sz="4" w:space="0"/>
              <w:bottom w:val="single" w:color="auto" w:sz="4" w:space="0"/>
              <w:right w:val="single" w:color="auto" w:sz="4" w:space="0"/>
            </w:tcBorders>
          </w:tcPr>
          <w:p>
            <w:pPr>
              <w:spacing w:line="580" w:lineRule="exact"/>
              <w:rPr>
                <w:rFonts w:ascii="Times New Roman" w:hAnsi="Times New Roman" w:eastAsia="黑体"/>
                <w:sz w:val="24"/>
                <w:szCs w:val="24"/>
              </w:rPr>
            </w:pPr>
            <w:r>
              <w:rPr>
                <w:rFonts w:ascii="Times New Roman" w:hAnsiTheme="minorEastAsia" w:eastAsiaTheme="minorEastAsia"/>
                <w:sz w:val="24"/>
                <w:szCs w:val="24"/>
              </w:rPr>
              <w:t>（包括申请增设专业的主要理由、专业筹建情况、学校专业发展规划及人才需求预测情况等方面的内容）</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一、增设专业主要理由</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（一）国家发展需要</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进入21世纪以来，随着我国经济社会的快速发展，人们的工作和生活方式发生改变，居民身体活动量明显减少，身体活动不足是导致人体死亡的第四独立因素。体育活动已经成为增强国民体质、提高健康水平最积极、最有效、最经济的生活方式。</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我国政府高度重视体育活动在增强体质、提高健康水平中的重要作用，尤其近五年，一系列推动健康中国、全民健身、体育产业发展的文件不断出台（表1）。1995年6月20日，国务院颁布了《全民健身计划纲要》，推行全民健身计划成为中国特色群众体育发展的重要方式，并不断在其后的《体育法》、《全民健身条例》等国家立法中，以及多次在国家发展规划、政府工作报告中得以体现，而且有了2011年之后与国家五年规划同步的全民健身计划新常态。2007年，国务院下发《关于加强青少年体育增强青少年体质的意见》，2014年国家再次印发了《关于加快发展体育产业促进体育消费的若干意见》，把全民健身上升为国家战略，把增强人民体质、提高健康水平作为根本目标。2016年，国务院印发</w:t>
            </w:r>
            <w:r>
              <w:rPr>
                <w:rFonts w:hint="eastAsia" w:ascii="Times New Roman" w:eastAsia="宋体"/>
                <w:color w:val="000000"/>
                <w:kern w:val="0"/>
                <w:sz w:val="24"/>
                <w:szCs w:val="24"/>
              </w:rPr>
              <w:t>《全民健身计划</w:t>
            </w:r>
            <w:r>
              <w:rPr>
                <w:rFonts w:ascii="Times New Roman" w:eastAsia="宋体"/>
                <w:color w:val="000000"/>
                <w:kern w:val="0"/>
                <w:sz w:val="24"/>
                <w:szCs w:val="24"/>
              </w:rPr>
              <w:t>&lt;2016-2020</w:t>
            </w:r>
            <w:r>
              <w:rPr>
                <w:rFonts w:hint="eastAsia" w:ascii="Times New Roman" w:eastAsia="宋体"/>
                <w:color w:val="000000"/>
                <w:kern w:val="0"/>
                <w:sz w:val="24"/>
                <w:szCs w:val="24"/>
              </w:rPr>
              <w:t>年</w:t>
            </w:r>
            <w:r>
              <w:rPr>
                <w:rFonts w:ascii="Times New Roman" w:eastAsia="宋体"/>
                <w:color w:val="000000"/>
                <w:kern w:val="0"/>
                <w:sz w:val="24"/>
                <w:szCs w:val="24"/>
              </w:rPr>
              <w:t>&gt;</w:t>
            </w:r>
            <w:r>
              <w:rPr>
                <w:rFonts w:hint="eastAsia" w:ascii="Times New Roman" w:eastAsia="宋体"/>
                <w:color w:val="000000"/>
                <w:kern w:val="0"/>
                <w:sz w:val="24"/>
                <w:szCs w:val="24"/>
              </w:rPr>
              <w:t>》、</w:t>
            </w:r>
            <w:r>
              <w:rPr>
                <w:rFonts w:hint="eastAsia" w:ascii="宋体" w:hAnsi="宋体" w:eastAsia="宋体" w:cs="宋体"/>
                <w:color w:val="auto"/>
                <w:sz w:val="24"/>
                <w:szCs w:val="24"/>
              </w:rPr>
              <w:t>《“健康中国2030”规划纲要》，对发展群众体育活动、倡导全民健身新时尚、推进健康中国建设做出了明确部署，2019年，国务院印发具体的《关于实施健康中国行动的意见》，提出通过多种措施，包括全民健身行动来全方位干预健康的影响因素，提升全民身心素质。</w:t>
            </w:r>
          </w:p>
          <w:p>
            <w:pPr>
              <w:pStyle w:val="30"/>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与此同时，政府及各主管部门针对性促进体育产业、体育消费的文件层出不穷，2010年国务院办公厅在《关于加快体育产业的指导意见》中提出，到2020年，培育一批具有国际竞争力的体育骨干企业和企业集团，形成一批有中国特色和国际影响力的体育产品品牌；建立以体育服务业为重点、门类齐全、结构合理的体育产业体系和规范有序、繁荣发展的体育市场，包括体育健身市场、体育竞赛与表演市场、体育中介市场、体育用品业等。2012至2015年，体育总局发布系列有关体育场馆、产业、彩票等的资金、运营与管理办法。2014年，国务院再次发布《关于加快体育产业促进体育消费的若干意见》，提出要加快对体育产业体系的整体布局，丰富体育产品和服务，进一步满足并刺激人民群众对体育的消费需求，到2025年，体育产业总规模将超过5万亿元。发改委、国家税务总局在《关于体育场馆房产税和城镇土地使用税改策的通知》中指出对事业单位、居民委员会、村民委员会拥有的体育场馆进行补助，适当减免用于体育活动的房产、土地、免征房产税和城镇土地使用税。体育总局联合发改委等多部门，共同规划多项体育产业，2020年全国足球场地数量超过7万块，使每万人拥有0.5-0.7块足球场地，2030年每万人拥有1块足球场地；2020年，体育产业总规模超过3万亿，产业增加值在国内生产总值中的比重达1.0%。2020年，每周参加1次以上体育锻炼的人数达到7亿，经常参加体育锻炼的人数达到4.35亿，体育消费总规模达到1.5万亿元；“十三五”末，体育彩票发展的质量和效益显著改善，发行销售规模进一步扩大；2025年，健身休闲产业总规模达到3万亿；2020年整体处于经济规模达到2000亿元，建立航空飞行营地2000个，各类航空运动俱乐部1000家，参与航空运动消费人群达2000万人；2020年，山地户外运动产业总规模达到4000亿元；2020年，水上运动产业规模达到3000亿元，水上运动俱乐部达到1000个，全国水上（海上）国民休闲运动中心达到10个；2020年我国冰雪产业总规模达到6000亿元，到2025年我国冰雪产业总规模达到10000亿元；2022年，全国滑冰馆数量不少于650座，其中新建不少于500座，滑雪场数量达到800座、雪道面积达到10000万平方米、雪道长度达到3500千米，其中新建滑雪场不少于700万平方米、雪道面积不少于700万平方米，雪道长度不少于2500千米……这些文件的出台，无疑都推动了体育产业的快速发展。</w:t>
            </w:r>
          </w:p>
          <w:p>
            <w:pPr>
              <w:pStyle w:val="30"/>
              <w:spacing w:line="360" w:lineRule="auto"/>
              <w:ind w:firstLine="0" w:firstLineChars="0"/>
              <w:jc w:val="center"/>
              <w:rPr>
                <w:rFonts w:ascii="宋体" w:hAnsi="宋体" w:cs="宋体" w:eastAsiaTheme="minorEastAsia"/>
                <w:color w:val="auto"/>
                <w:sz w:val="24"/>
                <w:szCs w:val="24"/>
              </w:rPr>
            </w:pPr>
            <w:r>
              <w:rPr>
                <w:rFonts w:hint="eastAsia" w:ascii="宋体" w:hAnsi="宋体" w:eastAsia="宋体" w:cs="宋体"/>
                <w:color w:val="auto"/>
                <w:sz w:val="24"/>
                <w:szCs w:val="24"/>
              </w:rPr>
              <w:t>表1 2010</w:t>
            </w:r>
            <w:r>
              <w:rPr>
                <w:rFonts w:hint="eastAsia" w:ascii="宋体" w:hAnsi="宋体" w:cs="宋体" w:eastAsiaTheme="minorEastAsia"/>
                <w:color w:val="auto"/>
                <w:sz w:val="24"/>
                <w:szCs w:val="24"/>
              </w:rPr>
              <w:t>年以来政府在体育产业推进方面出台的系列文件</w:t>
            </w:r>
          </w:p>
          <w:tbl>
            <w:tblPr>
              <w:tblStyle w:val="9"/>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2258"/>
              <w:gridCol w:w="5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2019年9月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国务院办公厅</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《关于促进全民健身和体育消费推动体育产业高质量发展的意见》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2019年8月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国务院办公厅</w:t>
                  </w:r>
                </w:p>
              </w:tc>
              <w:tc>
                <w:tcPr>
                  <w:tcW w:w="5542"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《体育强国建设纲要》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2019年7月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w:t>
                  </w:r>
                </w:p>
              </w:tc>
              <w:tc>
                <w:tcPr>
                  <w:tcW w:w="5542"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《关于实施健康中国行动的意见》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2019年7月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卫生健康委</w:t>
                  </w:r>
                </w:p>
              </w:tc>
              <w:tc>
                <w:tcPr>
                  <w:tcW w:w="5542"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《健康中国行动（2019—2030年）》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2019年4月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《体育产业统计分类（2019）》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2019年2月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《2019年群众体育工作要点》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2018年12月</w:t>
                  </w:r>
                </w:p>
              </w:tc>
              <w:tc>
                <w:tcPr>
                  <w:tcW w:w="2258"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国务院办公厅</w:t>
                  </w:r>
                </w:p>
              </w:tc>
              <w:tc>
                <w:tcPr>
                  <w:tcW w:w="5542" w:type="dxa"/>
                  <w:shd w:val="clear" w:color="auto" w:fill="auto"/>
                  <w:noWrap/>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《关于加快发展体育竞赛表演产业的指导意见》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2017年11月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《体育标准化管理办法》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2017年8月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《全民健身指南》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2016年12月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旅游局、体育总局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《关于大力发展体育旅游的指导意见》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体育总局、发改委等7部门</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《全国冰雪场地设施建设规划》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体育总局、发改委等4部门</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《冰雪运动发展规划（2013-2025）》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《群众冬季运动推广普及计划（2016-2020年）》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体育总局、发改委等7部门</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《水上运动产业发展规划》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《山地户外运动产业发展规划》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体育总局、发改委等9部门</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《航空运动产业发展规划》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2016年10月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中共中央、国务院</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《“健康中国2030”规划纲要》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2016年10月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国务院办公厅</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《关于加快发展健身休闲产业的指导意见》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2016年9月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《青少年体育“十三五”规划》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2016年8月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《体育彩票发展“十三五”规划》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2016年8月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《竞技体育“十三五”规划》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2016年6月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《全民健身计划&lt;2016-2020年&gt;》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2016年5月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《体育产业发展“十三五”规划》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2016年4月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发改委</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《中国足球中长期发展规划（2016-2050年）》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2015年12月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财政部 国家税务总局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《关于体育场馆房产税和城镇土地使用税改策的通知》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2015年2月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国务院办公厅</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《中国足球改革发展总体方案》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2015年1月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《体育场馆运营管理办法》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2014年10月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《关于加快发展体育展业促进体育消费的若干意见》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2014年9月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《大型体育场馆基本公共服务规范》、《大型体育场馆运营管理综合评价体系》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2014年9月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发改委、民政部等10部门</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《关于加快推进健康与养老服务工程建设的通知》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2014年5月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财政部、体育总局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《大型体育场馆免费低收费开放补助资金管理办法》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2013年12月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财政部、体育总局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《中央集中彩票公益金支持体育事业专项资金管理办法》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2013年10月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体育总局、发改委等8部门</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《关于加强大型体育场馆运营管理改革创新 提高公共服务水平的意见》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2012年5月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《关于鼓励和引导民间资本投资体育产业的实施意见》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2012年2月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中足协</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《中国足球之夜联赛管办分离改革方案》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2011年11月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《国家体育产业基地管理办法</w:t>
                  </w:r>
                  <w:r>
                    <w:rPr>
                      <w:rFonts w:cs="宋体"/>
                      <w:color w:val="000000"/>
                      <w:kern w:val="0"/>
                      <w:szCs w:val="21"/>
                    </w:rPr>
                    <w:t>(</w:t>
                  </w:r>
                  <w:r>
                    <w:rPr>
                      <w:rFonts w:hint="eastAsia" w:ascii="宋体" w:hAnsi="宋体" w:cs="宋体"/>
                      <w:color w:val="000000"/>
                      <w:kern w:val="0"/>
                      <w:szCs w:val="21"/>
                    </w:rPr>
                    <w:t>试行</w:t>
                  </w:r>
                  <w:r>
                    <w:rPr>
                      <w:rFonts w:cs="宋体"/>
                      <w:color w:val="000000"/>
                      <w:kern w:val="0"/>
                      <w:szCs w:val="21"/>
                    </w:rPr>
                    <w:t>)</w:t>
                  </w: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2011年3月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体育总局</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《体育事业发展“十二五”规划》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500"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2010年3月</w:t>
                  </w:r>
                </w:p>
              </w:tc>
              <w:tc>
                <w:tcPr>
                  <w:tcW w:w="2258"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国务院办公厅</w:t>
                  </w:r>
                </w:p>
              </w:tc>
              <w:tc>
                <w:tcPr>
                  <w:tcW w:w="5542" w:type="dxa"/>
                  <w:shd w:val="clear" w:color="auto" w:fill="auto"/>
                </w:tcPr>
                <w:p>
                  <w:pPr>
                    <w:widowControl/>
                    <w:spacing w:line="360" w:lineRule="auto"/>
                    <w:jc w:val="left"/>
                    <w:rPr>
                      <w:rFonts w:ascii="宋体" w:hAnsi="宋体" w:cs="宋体"/>
                      <w:color w:val="000000"/>
                      <w:kern w:val="0"/>
                      <w:sz w:val="21"/>
                      <w:szCs w:val="21"/>
                    </w:rPr>
                  </w:pPr>
                  <w:r>
                    <w:rPr>
                      <w:rFonts w:hint="eastAsia" w:ascii="宋体" w:hAnsi="宋体" w:cs="宋体"/>
                      <w:color w:val="000000"/>
                      <w:kern w:val="0"/>
                      <w:sz w:val="21"/>
                      <w:szCs w:val="21"/>
                    </w:rPr>
                    <w:t>《关于加快发展体育产业的指导意见》</w:t>
                  </w:r>
                </w:p>
              </w:tc>
            </w:tr>
          </w:tbl>
          <w:p>
            <w:pPr>
              <w:pStyle w:val="30"/>
              <w:spacing w:line="360" w:lineRule="auto"/>
              <w:ind w:firstLine="480" w:firstLineChars="200"/>
              <w:rPr>
                <w:rFonts w:hint="eastAsia" w:asciiTheme="minorEastAsia" w:hAnsiTheme="minorEastAsia" w:eastAsiaTheme="minorEastAsia" w:cstheme="minorEastAsia"/>
                <w:color w:val="auto"/>
                <w:sz w:val="24"/>
                <w:szCs w:val="24"/>
              </w:rPr>
            </w:pPr>
            <w:bookmarkStart w:id="0" w:name="_Toc306271164"/>
            <w:bookmarkStart w:id="1" w:name="_Toc4599"/>
            <w:r>
              <w:rPr>
                <w:rFonts w:hint="eastAsia" w:asciiTheme="minorEastAsia" w:hAnsiTheme="minorEastAsia" w:eastAsiaTheme="minorEastAsia" w:cstheme="minorEastAsia"/>
                <w:color w:val="auto"/>
                <w:sz w:val="24"/>
                <w:szCs w:val="24"/>
              </w:rPr>
              <w:t>随着体育产业的快速发展扩大，对专业的体育运营与管理人才的需求也同步增长，开设体育运营与管理是国家发展的需要，是落实国家政策的体现。</w:t>
            </w:r>
            <w:bookmarkEnd w:id="0"/>
            <w:bookmarkEnd w:id="1"/>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（二）社会需求</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随着我国社会的不断发展，科学技术发展迅速，在经济建设上取得了一定的成就，人们的生活质量不断提高，对自身的健康也开始重视起来，全新的生活模式展现在人们眼前。人们开始重新审视生活，追求更高层面的生活质量，享受生活的观念也逐渐确立，休闲娱乐健身项目随之兴起，使人们的生活变得丰富多彩。健身俱乐部、运动场馆等的建立，使得体育运营与管理人才严重短缺。</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据调查表明，从2008年的奥运会在北京举行以后，国民对体育健康的重视得到了巨大的改善，社会风气也走向了全民体育的发展，户外运动、登山、游泳、骑行、攀岩甚至蹦极也受到越来越多的群众喜爱，人们在体育领域的消费日益增加，从而增加了社会对体育运营与管理专业人才需求。</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随着体育项目的多元化，各类体育场馆不断建设，无论是俱乐部、健身场所还是活动中心都急切需求运营与管理人才的引入，这为体育运营与管理专业提供了广阔的就业空间。</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据麦克思研究院连续两年的就业蓝皮书显示（《2018年中国大学生就业报告》、《2019年中国大学生就业报告》），社会体育专业在高职高专院校的绿牌专业（失业量小、就业率、薪资和就业满意综合较高）中高居榜首，且自2015届起毕业生就业率呈现逐年上升的态势，这些数据直接反映了群众对健康与身体的重视，市场对体育管理人才的迫切需求。</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（三）现有毕业生不能完全契合市场需求，急需培养高素质技能型人才</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国广大群众对于健康越来越重视，对于运动健身热情高涨。在提高健康意识的同时，人们需要高素质的经过系统专业训练的人才来指导健身运动，体育产业需要专门的人才进行运营与管理。随着需求的提升，对毕业生的职业能力要求也随之提高。而当前高校培养的体育运营与管理毕业生存在的主要问题是专业知识掌握不牢、专业技能不能熟练运用、适应能力不强等。</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当前社会急需能够快速进入工作状态起到作用的体育运营与管理专业毕业生。懂企划、会营销，丰富的知识储备、与人沟通协调的能力、组织协调能力、实际应用能力和危机处理的能力都是体育运营与管理专业毕业生必备的。</w:t>
            </w:r>
          </w:p>
          <w:p>
            <w:pPr>
              <w:pStyle w:val="30"/>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目前很多高校过去创立的专业教学目标沿用至今，已经落后于时代，不能与时俱进，与社会需求脱节，不能满足社会对本专业的期待和需求，教学缺乏针对性，不能培养出社会需要的高素质高水平的人才，学生在就业市场上竞争力有限。</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二、专业筹建情况</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1.本专业从筹建开始就进行大量的调研工作</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通过与部分体育院校、以及产业领域专家开展座谈、交流等多种方式，对当前就业市场上社会体育指导与管理人才供需状况、企业人才需求情况等方面进行了较为综合全面的调研。</w:t>
            </w:r>
          </w:p>
          <w:p>
            <w:pPr>
              <w:spacing w:line="360" w:lineRule="auto"/>
              <w:ind w:firstLine="482" w:firstLineChars="200"/>
              <w:rPr>
                <w:rFonts w:hint="eastAsia" w:asciiTheme="minorEastAsia" w:hAnsiTheme="minorEastAsia" w:eastAsiaTheme="minorEastAsia" w:cstheme="minorEastAsia"/>
                <w:b/>
                <w:color w:val="FF0000"/>
                <w:kern w:val="0"/>
                <w:sz w:val="24"/>
                <w:szCs w:val="24"/>
              </w:rPr>
            </w:pPr>
            <w:r>
              <w:rPr>
                <w:rFonts w:hint="eastAsia" w:asciiTheme="minorEastAsia" w:hAnsiTheme="minorEastAsia" w:eastAsiaTheme="minorEastAsia" w:cstheme="minorEastAsia"/>
                <w:b/>
                <w:bCs/>
                <w:sz w:val="24"/>
                <w:szCs w:val="24"/>
              </w:rPr>
              <w:t>2.整合优势资源</w:t>
            </w:r>
          </w:p>
          <w:p>
            <w:pPr>
              <w:spacing w:line="360" w:lineRule="auto"/>
              <w:ind w:firstLine="42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加强与各地体育院校、机构等的联系，将学校和机构等的优秀学者、专家引入到专业和课程建设中。聘请领域专业的领军人员，组建专家团队。</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3.具备一支专、兼结合的师资队伍</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具备较强的专兼结合的师资团队。本教学团队的所有专职教师全为硕士以上学历（含硕士），教授、副教授、讲师的比例适中，师资团队的梯队优势明显。</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4.建有稳定的实习实训基地</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多所分部与当地相关单位开展合作，建立起校外实训基地，包含企事业单位、学校、培训机构等。</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三、学校专业发展规划</w:t>
            </w:r>
          </w:p>
          <w:p>
            <w:pPr>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本专业面向国家需要和社会需要，为健康与体育领域输出专业人才。</w:t>
            </w:r>
          </w:p>
          <w:p>
            <w:pPr>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专业建设实施中，通过“学分认证”，实现学历与非学历教育相融合，打通学历教育和非学历的培训之间的通道，实现学历教育与社会培训的沟通与衔接，搭建终身学习的“立交桥”，积极建设有竞争力的课程资源，并向社会开放，积极实践开放教育和终身学习的理念。</w:t>
            </w:r>
          </w:p>
          <w:p>
            <w:pPr>
              <w:spacing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现移动学习和泛在学习。在教学中努力实现远程教育方法、理论、技术的有效结合，将泛在教育的理念引入课程建设之中，体现处处、时时学习理念。充分发挥新媒体的技术优势和便捷性优势，针对部分专业课程，开发适合手机、平板等需要的模块化移动学习课件，提高内容接受的灵活性和便捷性。</w:t>
            </w:r>
          </w:p>
          <w:p>
            <w:pPr>
              <w:spacing w:line="360" w:lineRule="auto"/>
              <w:ind w:firstLine="420"/>
              <w:rPr>
                <w:rFonts w:hint="eastAsia" w:asciiTheme="minorEastAsia" w:hAnsiTheme="minorEastAsia" w:eastAsiaTheme="minorEastAsia" w:cstheme="minorEastAsia"/>
                <w:color w:val="FF0000"/>
                <w:kern w:val="0"/>
                <w:sz w:val="24"/>
                <w:szCs w:val="24"/>
              </w:rPr>
            </w:pPr>
            <w:r>
              <w:rPr>
                <w:rFonts w:hint="eastAsia" w:asciiTheme="minorEastAsia" w:hAnsiTheme="minorEastAsia" w:eastAsiaTheme="minorEastAsia" w:cstheme="minorEastAsia"/>
                <w:sz w:val="24"/>
                <w:szCs w:val="24"/>
              </w:rPr>
              <w:t>体育运营与管理（专科）在申报过程中一直得到了各级领导、校内相关部门的大力支持和通力协助，经过多次的相互交流和沟通，形成了专业建设思路和培养方案，根据上面的分析与论证，开设体育运营与管理专业（专科）的条件已具备、时机已成熟。</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四、人才需求预测</w:t>
            </w:r>
          </w:p>
          <w:p>
            <w:pPr>
              <w:adjustRightInd w:val="0"/>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1.就业数据与社会需求的导向性</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需求具有一定的导向性，根据麦克思研究院连续两年的就业蓝皮书显示（《2018年中国大学生就业报告》、《2019年中国大学生就业报告》），自2015届起高职高专院校的社会体育专业毕业生就业率呈现逐年上升的态势，并成为失业量较小，就业率、月收入和就业满意度综合较高的需求增长型专业，这直接反映了群众对健康与身体的重视，市场对体育管理人才的迫切需求。就目前分析来看，这些需求主要体现在以下个方面。</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（1）随着国务院将全民健身上升为国家战略，我国体育健身俱乐部的数量和规模都有大幅提高，城市居民用于个人健身的消费每年以30%的速度递增，明显高于全球20%的平均速度；</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（2）健身俱乐部的运营管理逐步进入合理发展状态，在健身教练员、俱乐部运营管理人才方面具有十分可观的市场需求；</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（3）结合当今社会亚健康人群、老龄化人群增多现象，社区体育指导、体育养生保健方面的需求空间将逐渐扩大；</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（4）相关体育产业开发也需要体育运营与管理人才；</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（5）体育教育部门、体育行政管理部门等人才需求；</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（6）居民健康体育意识的提升，休闲体育活动的开展与指导都是体育运营与管理人才的一块潜在需求。</w:t>
            </w:r>
          </w:p>
          <w:p>
            <w:pPr>
              <w:adjustRightInd w:val="0"/>
              <w:spacing w:line="360" w:lineRule="auto"/>
              <w:ind w:firstLine="482" w:firstLineChars="200"/>
              <w:rPr>
                <w:rFonts w:hint="eastAsia" w:asciiTheme="minorEastAsia" w:hAnsiTheme="minorEastAsia" w:eastAsiaTheme="minorEastAsia" w:cstheme="minorEastAsia"/>
                <w:b/>
                <w:bCs/>
                <w:sz w:val="24"/>
                <w:szCs w:val="24"/>
              </w:rPr>
            </w:pPr>
            <w:bookmarkStart w:id="9" w:name="_GoBack"/>
            <w:r>
              <w:rPr>
                <w:rFonts w:hint="eastAsia" w:asciiTheme="minorEastAsia" w:hAnsiTheme="minorEastAsia" w:eastAsiaTheme="minorEastAsia" w:cstheme="minorEastAsia"/>
                <w:b/>
                <w:bCs/>
                <w:sz w:val="24"/>
                <w:szCs w:val="24"/>
              </w:rPr>
              <w:t>2.生源定位</w:t>
            </w:r>
          </w:p>
          <w:bookmarkEnd w:id="9"/>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各级体育局、体育运动学校、非政府组织等与社会体育工作有关的部门管理人员：这部分目标生源相当部分已经具备相体育运动的技能，符合岗位要求的学历，因此可以从上岗证书或资格证书培训作为突破口，提供与工作实际、职业发展紧密结合的课程带动第二学历的开拓。</w:t>
            </w:r>
          </w:p>
          <w:p>
            <w:pPr>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社区、俱乐部、以及体育运动场馆以体育服务与管理为主的机构的工作人员：这部分目标生源相对学历水平不高，有一定的专业技术水平，因此可以通过系统的学历教育使其取得该专业的学历，并且同时以上岗证书和相关的资格证书培训作为突破口提供与工作实际、职业发展紧密结合的课程带动第二学历的开拓。</w:t>
            </w:r>
          </w:p>
          <w:p>
            <w:pPr>
              <w:adjustRightInd w:val="0"/>
              <w:spacing w:line="360" w:lineRule="auto"/>
              <w:ind w:firstLine="480" w:firstLineChars="200"/>
              <w:rPr>
                <w:rFonts w:ascii="宋体" w:hAnsi="宋体"/>
                <w:sz w:val="24"/>
                <w:szCs w:val="24"/>
              </w:rPr>
            </w:pPr>
            <w:r>
              <w:rPr>
                <w:rFonts w:hint="eastAsia" w:asciiTheme="minorEastAsia" w:hAnsiTheme="minorEastAsia" w:eastAsiaTheme="minorEastAsia" w:cstheme="minorEastAsia"/>
                <w:sz w:val="24"/>
                <w:szCs w:val="24"/>
              </w:rPr>
              <w:t>（3）将来有志于在体育产业、体育服务业、健身俱乐部、社会团体、企事业单位从事运营与管理的现役运动员以及退役运动员：针对这部分目标生源主要从系统的学历教育入手，夯实社会体育专业的基本理论以及提高大众健身指导、运动损伤防护等实际操作能力，同时更要进行相应的资格证书的培训，更好的适应以后的实际工作，与职业发展密切结合，培养其成为更好为社会体育服务的高素质人才。</w:t>
            </w:r>
          </w:p>
        </w:tc>
      </w:tr>
    </w:tbl>
    <w:p>
      <w:pPr>
        <w:spacing w:after="156" w:afterLines="50" w:line="580" w:lineRule="exact"/>
        <w:jc w:val="center"/>
        <w:rPr>
          <w:rFonts w:ascii="Times New Roman" w:hAnsi="Times New Roman" w:eastAsia="黑体"/>
          <w:bCs/>
          <w:spacing w:val="20"/>
          <w:sz w:val="44"/>
          <w:szCs w:val="24"/>
        </w:rPr>
      </w:pPr>
      <w:r>
        <w:rPr>
          <w:rFonts w:ascii="Times New Roman" w:hAnsi="Times New Roman"/>
          <w:b/>
          <w:bCs/>
          <w:sz w:val="32"/>
          <w:szCs w:val="24"/>
        </w:rPr>
        <w:br w:type="page"/>
      </w:r>
      <w:r>
        <w:rPr>
          <w:rFonts w:ascii="Times New Roman" w:hAnsi="Times New Roman" w:eastAsia="黑体"/>
          <w:bCs/>
          <w:sz w:val="32"/>
          <w:szCs w:val="24"/>
        </w:rPr>
        <w:t>增设专业人才培养方案</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8" w:hRule="atLeast"/>
          <w:jc w:val="center"/>
        </w:trPr>
        <w:tc>
          <w:tcPr>
            <w:tcW w:w="8820" w:type="dxa"/>
            <w:tcBorders>
              <w:top w:val="single" w:color="auto" w:sz="4" w:space="0"/>
              <w:left w:val="single" w:color="auto" w:sz="4" w:space="0"/>
              <w:bottom w:val="single" w:color="auto" w:sz="4" w:space="0"/>
              <w:right w:val="single" w:color="auto" w:sz="4" w:space="0"/>
            </w:tcBorders>
          </w:tcPr>
          <w:p>
            <w:pPr>
              <w:spacing w:line="420" w:lineRule="exact"/>
              <w:rPr>
                <w:rFonts w:ascii="Times New Roman"/>
                <w:bCs/>
                <w:sz w:val="24"/>
                <w:szCs w:val="24"/>
              </w:rPr>
            </w:pPr>
            <w:r>
              <w:rPr>
                <w:rFonts w:ascii="Times New Roman"/>
                <w:sz w:val="24"/>
                <w:szCs w:val="24"/>
              </w:rPr>
              <w:t>包括培养目标、基本要求（素质要求、能力要求、知识结构要求）、修业年限、主干学科、主要课程、主要实践性教学环节和主要专业实验、</w:t>
            </w:r>
            <w:r>
              <w:rPr>
                <w:rFonts w:ascii="Times New Roman"/>
                <w:bCs/>
                <w:sz w:val="24"/>
                <w:szCs w:val="24"/>
              </w:rPr>
              <w:t>教学计划等内容</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一、专业名称</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专业名称：体育运营与管理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专业层次：专科</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所属学科门类：教育与体育大类</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二、入学要求</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普通高中、职业高中、技工学校和中等专业学校毕业生可报名注册入学。</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三、培养目标</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习近平新时代中国特色社会主义思想为指导，坚持立德树人的根本任务，培养具备良好体魄与健康精神，具有专业技能、良好职业道德和人文素养，德智体美劳全面发展的高素质社会主义建设者和接班人。经过本专业的学习，学生能够掌握体育赛事组织与管理、健身休闲体育活动运营管理与服务、体育场地场馆运营与管理的基本知识，具备体育相关事业和产业运营与管理的基本能力，从事赛事活动组织策划、体育用品市场营销、体育市场服务与推广、体育场馆的维护管理、体育产业经营与管理等工作的高素质技能型人才。</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四、培养规格</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（1）修业年限：2.5年，学籍8年有效。</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（2）学习形式：开放教育</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（3）总学时学分：1404学时，78学分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（4）人才培养知识、能力和素质要求</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毕业生应获得如下几方面的知识和能力：</w:t>
            </w:r>
          </w:p>
          <w:p>
            <w:pPr>
              <w:spacing w:line="360" w:lineRule="auto"/>
              <w:ind w:firstLine="480" w:firstLineChars="200"/>
              <w:rPr>
                <w:rFonts w:hint="eastAsia" w:asciiTheme="minorEastAsia" w:hAnsiTheme="minorEastAsia" w:eastAsiaTheme="minorEastAsia" w:cstheme="minorEastAsia"/>
                <w:sz w:val="24"/>
                <w:szCs w:val="24"/>
              </w:rPr>
            </w:pPr>
            <w:bookmarkStart w:id="2" w:name="_Toc339625090"/>
            <w:bookmarkStart w:id="3" w:name="_Toc339625088"/>
            <w:r>
              <w:rPr>
                <w:rFonts w:hint="eastAsia" w:asciiTheme="minorEastAsia" w:hAnsiTheme="minorEastAsia" w:eastAsiaTheme="minorEastAsia" w:cstheme="minorEastAsia"/>
                <w:sz w:val="24"/>
                <w:szCs w:val="24"/>
              </w:rPr>
              <w:t>1．素质要求</w:t>
            </w:r>
            <w:bookmarkEnd w:id="2"/>
            <w:r>
              <w:rPr>
                <w:rFonts w:hint="eastAsia" w:asciiTheme="minorEastAsia" w:hAnsiTheme="minorEastAsia" w:eastAsiaTheme="minorEastAsia" w:cstheme="minorEastAsia"/>
                <w:sz w:val="24"/>
                <w:szCs w:val="24"/>
              </w:rPr>
              <w:t xml:space="preserve"> </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思想品德素质：热爱祖国，遵纪守法，具有良好的思想品德、社会公德和职业道德。</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身心素质：具有良好的身体素质和心理素质。</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文化素质：具有良好的文化修养。</w:t>
            </w:r>
          </w:p>
          <w:p>
            <w:pPr>
              <w:tabs>
                <w:tab w:val="left" w:pos="426"/>
              </w:tabs>
              <w:snapToGrid w:val="0"/>
              <w:spacing w:line="360" w:lineRule="auto"/>
              <w:ind w:firstLine="470" w:firstLineChars="1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2．知识要求</w:t>
            </w:r>
            <w:bookmarkEnd w:id="3"/>
            <w:bookmarkStart w:id="4" w:name="_Toc339625089"/>
            <w:bookmarkStart w:id="5" w:name="_Toc341017232"/>
            <w:bookmarkStart w:id="6" w:name="_Toc341017169"/>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掌握英语、计算机等基础知识；</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掌握体育活动策划与实施的专业知识；</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掌握体育经纪活动、运动项目、体育无形资产、法律法规等基础知识。</w:t>
            </w:r>
          </w:p>
          <w:p>
            <w:pPr>
              <w:tabs>
                <w:tab w:val="left" w:pos="426"/>
              </w:tabs>
              <w:snapToGrid w:val="0"/>
              <w:spacing w:line="360" w:lineRule="auto"/>
              <w:ind w:left="54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3．能力要求</w:t>
            </w:r>
            <w:bookmarkEnd w:id="4"/>
            <w:bookmarkEnd w:id="5"/>
            <w:bookmarkEnd w:id="6"/>
            <w:r>
              <w:rPr>
                <w:rFonts w:hint="eastAsia" w:asciiTheme="minorEastAsia" w:hAnsiTheme="minorEastAsia" w:eastAsiaTheme="minorEastAsia" w:cstheme="minorEastAsia"/>
                <w:sz w:val="24"/>
                <w:szCs w:val="24"/>
              </w:rPr>
              <w:t xml:space="preserve"> </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具备体育经纪活动的信息收集、业务谈判、文案管理能力；</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具备体育赛事、市场推广等活动方案策划与实施的能力；</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具备体育产品（服务）的营销推广能力；</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具备体育场馆维护、运营与管理的能力；</w:t>
            </w:r>
          </w:p>
          <w:p>
            <w:pPr>
              <w:pStyle w:val="18"/>
              <w:numPr>
                <w:ilvl w:val="2"/>
                <w:numId w:val="1"/>
              </w:numPr>
              <w:adjustRightInd w:val="0"/>
              <w:snapToGrid w:val="0"/>
              <w:spacing w:line="360" w:lineRule="auto"/>
              <w:ind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具备客户开发、维护、沟通和处理客户投诉的能力。</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五、课程体系说明</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（一）模块设置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本专业共设置8个模块，分别是公共基础课、思想政治课、专业基础课、专业课、专业拓展课、通识课、综合实践、公共英语课。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1．公共基础课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该模块最低总部考试学分为1学分，模块最低设置学分为6学分。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（1）统设必修课：国家开放大学学习指南。</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（2）选修课：计算机应用基础、大学信息技术应用基础、</w:t>
            </w:r>
            <w:r>
              <w:rPr>
                <w:rFonts w:hint="eastAsia" w:asciiTheme="minorEastAsia" w:hAnsiTheme="minorEastAsia" w:eastAsiaTheme="minorEastAsia" w:cstheme="minorEastAsia"/>
                <w:sz w:val="24"/>
                <w:szCs w:val="24"/>
                <w:lang w:eastAsia="zh-CN"/>
              </w:rPr>
              <w:t>法学基础</w:t>
            </w:r>
            <w:r>
              <w:rPr>
                <w:rFonts w:hint="eastAsia" w:asciiTheme="minorEastAsia" w:hAnsiTheme="minorEastAsia" w:eastAsiaTheme="minorEastAsia" w:cstheme="minorEastAsia"/>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2．思想政治课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该模块最低总部考试学分为8学分，模块最低设置学分为11学分。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统设必修课：思想道德修养与法律基础、毛泽东思想和中国特色社会主义理论体系概论、习近平新时代中国特色社会主义思想。</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统设选修课：中国传统文化导论。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3．专业基础课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该模块最低总部考试学分为11学分，模块最低设置学分为14学分。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统设必修课：管理学原理、体育管理学、体育市场营销、体育产业概论、市场调查与预测。</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4．专业课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该模块最低总部考试学分为23学分，模块最低设置学分为37学分。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（1）统设必修课：运动休闲会所运营管理、体育场馆经营与管理、体育赛事组织与管理、体育活动项目策划与运营、体育经纪、人力资源与薪酬管理、体育行业服务与沟通技巧。</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（2）选修课：体育俱乐部管理、科学膳食营养方案、客户沟通与关系管理、电子商务与网络营销、娱乐体育管理、体育赛事运营与技巧策略。</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5．专业拓展课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该模块最低总部考试学分为0学分，模块最低设置学分为10学分。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拓展课可从如下课程中选修：人际心理学、营销心理学、教育心理学、人体解剖生理学、休闲体育、健康教育学、运动保健与康复、青少年体育运动指导、学校体育学、游泳、球类、体育游戏、民族传统体育、有氧操基础、户外运动基础、拓展运动、形体训练、社会体育竞赛与编排、健康与体适能、健身运动处方理论与实践。</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6．通识课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开总部设置统一的通识课程平台，所有开放教育专业适用此平台的课程；通识课模块毕业最低学分为2学分；通识课设置及通识教育是国家开放大学人才培养的特色之一，是实施素质教育的具体措施，通识课模块课程不得免修免考；已取得电大毕业证书的学生，若再次注册学习国家开放大学相关专业，原修专业已注册过的通识课程，在新修专业中不得再次注册学习（在教务管理系统中此类课程将不能实现注册）和申请办理课程免修免考，此模块毕业最低学分通过修读本模块的其他通识课程获得。</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统设必修课：形势与政策</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7．综合实践</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本专业综合实践包括体育活动策划和专业实习，统设必修，共8学分，由分部根据总部制定的实践环节教学大纲组织实施。该环节不得免修。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8．公共英语课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该模块最低总部考试学分为3 学分, 模块最低设置学分为24 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建议本专业学习管理英语1、2或商务英语1、2。</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（二）学分转换规则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部分课程与职业资格证书的培训内容有密切关联，学习这些课程有助于学生申请社会体育指导员职业资格证书/游泳救生员等职业资格证书。已获得相应职业资格证书可申请学分认定免修、免考对应课程。具体对应转换规则见表1。</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已接受相关技能等级证书培训，可申请学分认定免修对应课程，但不免考。具体对应转换规则见表2。</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表1  相关职业资格证书一览表</w:t>
            </w:r>
          </w:p>
          <w:tbl>
            <w:tblPr>
              <w:tblStyle w:val="9"/>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3"/>
              <w:gridCol w:w="2835"/>
              <w:gridCol w:w="3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证书名称</w:t>
                  </w: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颁证机构</w:t>
                  </w:r>
                </w:p>
              </w:tc>
              <w:tc>
                <w:tcPr>
                  <w:tcW w:w="3089"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可申请免修免考课程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val="0"/>
                      <w:bCs/>
                      <w:sz w:val="21"/>
                      <w:szCs w:val="21"/>
                    </w:rPr>
                  </w:pPr>
                  <w:bookmarkStart w:id="7" w:name="_Hlk461002111"/>
                  <w:r>
                    <w:rPr>
                      <w:rFonts w:hint="eastAsia" w:asciiTheme="minorEastAsia" w:hAnsiTheme="minorEastAsia" w:eastAsiaTheme="minorEastAsia" w:cstheme="minorEastAsia"/>
                      <w:b w:val="0"/>
                      <w:bCs/>
                      <w:sz w:val="21"/>
                      <w:szCs w:val="21"/>
                    </w:rPr>
                    <w:t>社会体育指导员（游泳）</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《游泳》</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游泳救生员</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国家体育总局、人力资源和社会保障部</w:t>
                  </w:r>
                </w:p>
              </w:tc>
              <w:tc>
                <w:tcPr>
                  <w:tcW w:w="30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《游泳》</w:t>
                  </w:r>
                </w:p>
              </w:tc>
            </w:tr>
          </w:tbl>
          <w:p>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社会体育指导员暂设工种包括：游泳、健美操、滑雪、保龄球、卡丁车、蹦极、攀岩、轮滑、滑冰、射击、射箭、潜水、漂流、滑翔伞、热气球、动力伞、跆拳道、柔道、摔跤、拳击、武术、击剑、马术、帆板、滑水、跳伞、网球、羽毛球、棒球、垒球、高尔夫球、自行车、围棋、象棋、健美、航海模型、足球、篮球、乒乓球、台球、健身教练、散打、空手道、体育舞蹈、国际象棋、拓展、山地户外等。其中，游泳、滑雪、潜水和攀岩收录于2019年1月的《国家职业资格目录》中，其他项目均由各地体育主管部门或行业协会组织培训与认定。</w:t>
            </w:r>
          </w:p>
          <w:p>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表2 相关技能等级证书/培训一览表</w:t>
            </w:r>
          </w:p>
          <w:tbl>
            <w:tblPr>
              <w:tblStyle w:val="9"/>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2268"/>
              <w:gridCol w:w="3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2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证书（培训）名称</w:t>
                  </w:r>
                </w:p>
              </w:tc>
              <w:tc>
                <w:tcPr>
                  <w:tcW w:w="2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颁证机构</w:t>
                  </w:r>
                </w:p>
              </w:tc>
              <w:tc>
                <w:tcPr>
                  <w:tcW w:w="35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可申请免修课程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社会体育指导员（拓展）</w:t>
                  </w:r>
                </w:p>
              </w:tc>
              <w:tc>
                <w:tcPr>
                  <w:tcW w:w="2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国家体育总局、人力资源和社会保障部</w:t>
                  </w:r>
                </w:p>
              </w:tc>
              <w:tc>
                <w:tcPr>
                  <w:tcW w:w="35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《拓展运动》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运动营养师</w:t>
                  </w:r>
                </w:p>
              </w:tc>
              <w:tc>
                <w:tcPr>
                  <w:tcW w:w="2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国家体育总局、中国食品科学技术学会运动营养食品分会</w:t>
                  </w:r>
                </w:p>
              </w:tc>
              <w:tc>
                <w:tcPr>
                  <w:tcW w:w="35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《科学膳食营养方案的制定》</w:t>
                  </w:r>
                </w:p>
              </w:tc>
            </w:tr>
          </w:tbl>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（三）课程说明</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1．国家开放大学学习指南</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本课程1学分，课内学时18学时，开设一学期。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性质及主要内容：本课程是国家开放大学各专业开设的一门必修课。课程内容包括正确认识学习目标；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目标：学生通过本课程的学习，能够明确学习目的，坚定理念信念，强化思想政治和道德修养。能够了解国家开放大学的概况、历史，熟悉专业、课程设置情况和学习环境，熟悉与远程学习模式相适应的学习方法，学会运用现代信息技术进行网络学习和交流，知道学校学生相关事务的管理规定、参与学生活动的方式以及获得奖励的相关要求。使学生逐步培养自主学习的习惯，初步具备利用现代远程技术在国家开放大学进行学习的能力。</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课程资源：文字教材，《国家开放大学学习指南》，杨志坚主编，国家开放大学出版社，2018年12月第一版。网络课程。</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学习建议：根据教学计划的统一要求，按时登录国家开放大学学习网，根据教学设计进行课程学习，做练习、与老师同学讨论交流，完成布置的作业。</w:t>
            </w:r>
          </w:p>
          <w:p>
            <w:pPr>
              <w:autoSpaceDE w:val="0"/>
              <w:spacing w:line="360" w:lineRule="auto"/>
              <w:ind w:firstLine="482" w:firstLineChars="200"/>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rPr>
              <w:t>2．计算机应用基础</w:t>
            </w:r>
            <w:r>
              <w:rPr>
                <w:rFonts w:hint="eastAsia" w:asciiTheme="minorEastAsia" w:hAnsiTheme="minorEastAsia" w:eastAsiaTheme="minorEastAsia" w:cstheme="minorEastAsia"/>
                <w:b/>
                <w:sz w:val="24"/>
                <w:szCs w:val="24"/>
                <w:lang w:eastAsia="zh-CN"/>
              </w:rPr>
              <w:t>（本）</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本课程4学分，课内学时72学时，开设一学期。</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本课程将“立德树人”贯穿于课程教学全过程。通过本课程的学习, 学生应能了解计算机发展历史，计算机的基础知识，信息技术的基本常识；掌握使用微型计算机和网络处理办公事务的基本技能和方法，为学生深入学习计算机相关知识、技能以及提高综合素质打下基础。</w:t>
            </w:r>
          </w:p>
          <w:p>
            <w:pPr>
              <w:autoSpaceDE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本课程的主要内容包括：计算机基础知识，Windows操作系统；网络应用基础；文字处理系统（Word）；电子表格系统（Excel）；电子演示文稿系统 （PowerPoint）；数据库应用系统（Access）。</w:t>
            </w:r>
          </w:p>
          <w:p>
            <w:pPr>
              <w:autoSpaceDE w:val="0"/>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3．思想道德修养与法律基础</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本课程3学分，共54学时，开设一学期。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思想道德修养与法律基础》是国家开放大学面向专科和本科（高中起点）各专业学生开设的一门思想政治理论必修课程。本课程以习近平新时代中国特色社会主义思想为指导，以新时代对青年学生的新要求为主线，以思想教育、道德教育和法治教育为基本内容，通过学习，引导学生树立崇高的理想信念，弘扬中国精神，确立正确的世界观、人生观、价值观，养成良好的道德素质和法治素养，培育能够担当民族复兴大任的时代新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本课程的主要内容包括：时代新人的新样貌、人生的青春之问、坚定理想信念、弘扬中国精神、践行社会主义核心价值观、明大德守公德严私德、尊法学法守法用法、依法行使权利与履行义务等。</w:t>
            </w:r>
          </w:p>
          <w:p>
            <w:pPr>
              <w:autoSpaceDE w:val="0"/>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4．毛泽东思想和中国特色社会主义理论体系概论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本课程3学分，共54学时，开设一学期。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毛泽东思想和中国特色社会主义理论体系概论》是国家开放大学面向专科和本科（高中起点）各专业学生开设的一门思想政治理论必修课程。通过本课程的学习，学生可以准确的掌握马克思主义中国化进程中形成的理论成果；对中国共产党领导人民进行的革命、建设、改革的历史进程、历史变革、历史成就有更加深刻的认识；对中国共产党在新时代坚持基本理论、基本路线和基本方略有更加透彻的理解；对运用马克思主义立场、观点和方法认识问题、分析问题和解决问题能力的提升有更加切实的帮助。</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包括三部分：第一部分是毛泽东思想，包括毛泽东思想的形成、新民主主义革命理论、社会主义改造理论、社会主义建设道路初步探索的理论成果。第二部分主要阐述邓小平理论、“三个代表”重要思想、科学发展观的主要内容。第三部分简要阐述习近平新时代中国特色社会主义思想形成的时代背景、历史地位等，其详细内容在《习近平新时代中国特色社会主义思想》课程中予以重点阐述。</w:t>
            </w:r>
          </w:p>
          <w:p>
            <w:pPr>
              <w:autoSpaceDE w:val="0"/>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5．习近平新时代中国特色社会主义思想</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本课程2学分，共36学时，开设一学期。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习近平新时代中国特色社会主义思想》是国家开放大学面向本专科各专业学生开设的一门思想政治理论必修课程。通过本课程的学习，学生能系统地掌握习近平新时代中国特色社会主义思想的形成背景、主要内容及其历史地位，从而自觉地投身于中国特色社会主义的伟大建设实践，为中国人民谋幸福，为中华民族谋复兴。</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的主要内容：总论；中国特色社会主义进入新时代的重要依据；中国特色社会主义进入新时代的重大意义；中国特色社会主义进入新时代的努力方向；薪火传承、担当使命；八个明确和十四个基本方略；新时代中国特色社会主义的总体布局；四个全面吹响“集结号”；中国特色社会主义进入新时代的发展战略；中国智慧、中国方案；中国特色社会主义进入新时代的军队建设；时代先锋、世界脊梁；中国特色社会主义进入新时代的党的建设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6．管理学原理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本课程2学分，课内学时36学时，开设一学期，为统设必修课。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本课程主要内容包括管理学概述、管理的主要理念和基本原则、管理职能、管理决策与计划、组织与人力资源管理、财务管理与信息管理、领导与沟通、控制与团队创建等。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7．体育管理学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本课程2学分，课内学时36学时，开设一学期，为统设必修课。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本课程主要内容包括体育管理基本原理、职能与方法；体育管理体制；学校、运动训练、体育赛事、社会体育、体育产业、体育信息等的管理；管理、评价中常用模型及方法。</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8．体育市场营销</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产业与市场营销；市场营销观念演变；体育战略计划与管理；体育营销环境、消费者行为分析、营销调研、市场细分、目标市场选择与定位；体育产品与产品策略；体育分销渠道与策略；体育营销沟通与促销组合决策；体育赞助策略；体育营销组织、执行与控制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9．体育产业概论</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本课程2学分，课内学时36学时，开设一学期，为统设必修课。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产业的发生发展、研究对象与领域、研究方法；体育产业结构现状；居民体育消费结构及变动趋势；体育健身与娱乐产业概述；体育用品制造业产业概述；体育竞技表扬市场概述；体育旅游概述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10．市场调查与预测</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本课程2学分，课内学时36学时，开设一学期，为统设必修课。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本课程主要内容包括市场调查基本概念；市场调查方案、内容与流程；市场调查方法；普查与抽样；市场调查资料整理；调查报告撰写；市场预测基本原理；定性与定量市场预测等。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11．运动休闲会所运营管理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运动休闲会所的缘起、特点、分类、发展趋势；运动休闲会所的治理结构、组织结构与岗位描述；运动休闲会所的规划与筹建；运动休闲会所的会员管理与市场推广；运动休闲会所的设备维护与管理；运动休闲会所的运营环境与保障；运动休闲会所的人力资源管理；运动休闲会所与其他经营服务的组合；休闲活动策划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12．体育场馆经营与管理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场馆的含义与管理任务、方法与内容；现代体育场馆的类型及布局模式；体育场馆建设标准与中国城市更新；体育产品服务性开发与设计标准；体育健身场馆运营管理服务标准；体育场馆无形资产开发与利用；体育场馆风险管理；体育标准化概论；体育场馆各个设施的标准与服务统筹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13．体育赛事组织与管理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本课程主要内容包括体育赛事管理的体制、种类与制度，体育赛事活动的组织实施与管理，体育赛事实施过程中的相关重要工作，体育赛事的经营管理，常用运动项目的竞赛编排方法等。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14．体育活动项目策划与运营管理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本课程4学分，课内学时72学时，开设一学期，为统设必修课。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活动概述；体育活动的组织架构；体育活动的策划与管理基本程序；体育活动的调研及可行性分析；体育活动项目的计划、审批及相关法规、合同；体育活动项目的市场营销、财务、风险、组织人员、礼仪、安全、协调等运营管理。</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15．体育经纪</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经纪的产生、发展、地位与作用；国外体育经纪概述；体育经纪活动的基本要素与运作程序；体育经纪人的职责、权利、具备条件；体育经纪组织概述与现状；体育经纪人、经纪组织、经纪活动的管理；运动员、体育赛事、体育组织经纪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16．人力资源与薪酬管理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本课程主要内容包括工作分析、人力资源规划；人力资源需求与供给预测；招聘、培训开发、绩效管理；劳动关系与劳动合同制度；薪酬水平与调查；薪酬结构与薪酬体系设计；薪酬预算、控制与沟通等。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17．体育行业服务与沟通技巧</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本课程3学分，课内学时54学时，开设一学期，为统设必修课。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本课程主要内容包括体育行业客户意识、服务意识、服务人员的职业素养；客户感知与期望；规范化服装、仪容修饰、服务仪态；服务用语、发音、标准话术；沟通礼仪与艺术；处理客户投诉的礼仪与技巧等。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18．人际心理学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本课程2学分，课内学时36学时，开设一学期，为统设选修课。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本课程主要内容包括人际沟通、人际认知与印象、人际吸引与冲突、人际障碍与调适、人际交往技巧等。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19．营销心理学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营销心理的发生发展及研究意义；消费者的需要与动机；消费者的心理活动过程；消费者的个性心理特征；消费者文化与消费者购买行为；消费者群体、市场定位与消费者心理；产品心理策略、价格心理策略、购物环境心理策略、广告心理策略、营销人员的心理策略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20．休闲体育</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本课程主要内容包括休闲体育的概念、分类、特点、地位与价值；我国休闲体育发展现状及趋势；不同群体、阶层的休闲体育；休闲体育的经营与管理；休闲体育项目介绍等。</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21．健康教育学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本课程3学分，课内学时54学时，开设一学期，为统设选修课。</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程主要内容包括健康的概念、健康观念的转变；健康教育的意义、目的、任务、核心；健康教育的发展及趋势；健康心理与行为；传播与传播技巧；健康测量及其指标；成本-效益分析与成本-效果分析；健康促进规划设计、实施、评价；社区、学校、医院及职业人群的健康促进；吸烟、高血压、艾滋病的健康教育；老年人健康教育等。</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六、毕业规则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本专业各模块最低毕业学分依次是：公共基础课5学分；思想政治课8学分；专业基础课14学分；专业课32学分；专业拓展课4学分；通识课2学分；综合实践8学分；公共英语课3学分。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本专业各模块最低学分之和为78学分。最低学习年限不少于两年半。各模块国家开放大学总部考试学分之和为46学分。</w:t>
            </w:r>
          </w:p>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七、教学计划进程表</w:t>
            </w:r>
          </w:p>
          <w:tbl>
            <w:tblPr>
              <w:tblStyle w:val="9"/>
              <w:tblW w:w="8540" w:type="dxa"/>
              <w:tblInd w:w="93" w:type="dxa"/>
              <w:tblLayout w:type="autofit"/>
              <w:tblCellMar>
                <w:top w:w="0" w:type="dxa"/>
                <w:left w:w="108" w:type="dxa"/>
                <w:bottom w:w="0" w:type="dxa"/>
                <w:right w:w="108" w:type="dxa"/>
              </w:tblCellMar>
            </w:tblPr>
            <w:tblGrid>
              <w:gridCol w:w="380"/>
              <w:gridCol w:w="628"/>
              <w:gridCol w:w="567"/>
              <w:gridCol w:w="708"/>
              <w:gridCol w:w="377"/>
              <w:gridCol w:w="616"/>
              <w:gridCol w:w="937"/>
              <w:gridCol w:w="1189"/>
              <w:gridCol w:w="567"/>
              <w:gridCol w:w="655"/>
              <w:gridCol w:w="156"/>
              <w:gridCol w:w="540"/>
              <w:gridCol w:w="680"/>
              <w:gridCol w:w="540"/>
            </w:tblGrid>
            <w:tr>
              <w:tblPrEx>
                <w:tblCellMar>
                  <w:top w:w="0" w:type="dxa"/>
                  <w:left w:w="108" w:type="dxa"/>
                  <w:bottom w:w="0" w:type="dxa"/>
                  <w:right w:w="108" w:type="dxa"/>
                </w:tblCellMar>
              </w:tblPrEx>
              <w:trPr>
                <w:trHeight w:val="288" w:hRule="atLeast"/>
              </w:trPr>
              <w:tc>
                <w:tcPr>
                  <w:tcW w:w="854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6"/>
                      <w:szCs w:val="16"/>
                      <w:lang w:eastAsia="zh-CN"/>
                    </w:rPr>
                  </w:pPr>
                  <w:r>
                    <w:rPr>
                      <w:rFonts w:hint="eastAsia" w:ascii="宋体" w:hAnsi="宋体" w:cs="宋体"/>
                      <w:color w:val="000000"/>
                      <w:kern w:val="0"/>
                      <w:sz w:val="16"/>
                      <w:szCs w:val="16"/>
                    </w:rPr>
                    <w:t>体育运营与管理(专科)专业</w:t>
                  </w:r>
                  <w:r>
                    <w:rPr>
                      <w:rFonts w:hint="eastAsia" w:ascii="宋体" w:hAnsi="宋体" w:cs="宋体"/>
                      <w:color w:val="000000"/>
                      <w:kern w:val="0"/>
                      <w:sz w:val="16"/>
                      <w:szCs w:val="16"/>
                      <w:lang w:eastAsia="zh-CN"/>
                    </w:rPr>
                    <w:t>教学计划进程表</w:t>
                  </w:r>
                </w:p>
              </w:tc>
            </w:tr>
            <w:tr>
              <w:tblPrEx>
                <w:tblCellMar>
                  <w:top w:w="0" w:type="dxa"/>
                  <w:left w:w="108" w:type="dxa"/>
                  <w:bottom w:w="0" w:type="dxa"/>
                  <w:right w:w="108" w:type="dxa"/>
                </w:tblCellMar>
              </w:tblPrEx>
              <w:trPr>
                <w:trHeight w:val="288" w:hRule="atLeast"/>
              </w:trPr>
              <w:tc>
                <w:tcPr>
                  <w:tcW w:w="15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专业名称</w:t>
                  </w:r>
                </w:p>
              </w:tc>
              <w:tc>
                <w:tcPr>
                  <w:tcW w:w="263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体育运营与管理</w:t>
                  </w:r>
                </w:p>
              </w:tc>
              <w:tc>
                <w:tcPr>
                  <w:tcW w:w="24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规则号</w:t>
                  </w:r>
                </w:p>
              </w:tc>
              <w:tc>
                <w:tcPr>
                  <w:tcW w:w="19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w:t>
                  </w:r>
                </w:p>
              </w:tc>
            </w:tr>
            <w:tr>
              <w:tblPrEx>
                <w:tblCellMar>
                  <w:top w:w="0" w:type="dxa"/>
                  <w:left w:w="108" w:type="dxa"/>
                  <w:bottom w:w="0" w:type="dxa"/>
                  <w:right w:w="108" w:type="dxa"/>
                </w:tblCellMar>
              </w:tblPrEx>
              <w:trPr>
                <w:trHeight w:val="288" w:hRule="atLeast"/>
              </w:trPr>
              <w:tc>
                <w:tcPr>
                  <w:tcW w:w="15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学生类型</w:t>
                  </w:r>
                </w:p>
              </w:tc>
              <w:tc>
                <w:tcPr>
                  <w:tcW w:w="263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开放            </w:t>
                  </w:r>
                </w:p>
              </w:tc>
              <w:tc>
                <w:tcPr>
                  <w:tcW w:w="24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专业层次</w:t>
                  </w:r>
                </w:p>
              </w:tc>
              <w:tc>
                <w:tcPr>
                  <w:tcW w:w="19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专科</w:t>
                  </w:r>
                </w:p>
              </w:tc>
            </w:tr>
            <w:tr>
              <w:tblPrEx>
                <w:tblCellMar>
                  <w:top w:w="0" w:type="dxa"/>
                  <w:left w:w="108" w:type="dxa"/>
                  <w:bottom w:w="0" w:type="dxa"/>
                  <w:right w:w="108" w:type="dxa"/>
                </w:tblCellMar>
              </w:tblPrEx>
              <w:trPr>
                <w:trHeight w:val="288" w:hRule="atLeast"/>
              </w:trPr>
              <w:tc>
                <w:tcPr>
                  <w:tcW w:w="15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毕业学分</w:t>
                  </w:r>
                </w:p>
              </w:tc>
              <w:tc>
                <w:tcPr>
                  <w:tcW w:w="2638"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78</w:t>
                  </w:r>
                </w:p>
              </w:tc>
              <w:tc>
                <w:tcPr>
                  <w:tcW w:w="24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总部考试学分</w:t>
                  </w:r>
                </w:p>
              </w:tc>
              <w:tc>
                <w:tcPr>
                  <w:tcW w:w="19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6"/>
                      <w:szCs w:val="16"/>
                    </w:rPr>
                  </w:pPr>
                  <w:r>
                    <w:rPr>
                      <w:rFonts w:hint="eastAsia" w:ascii="宋体" w:hAnsi="宋体" w:cs="宋体"/>
                      <w:color w:val="000000"/>
                      <w:kern w:val="0"/>
                      <w:sz w:val="16"/>
                      <w:szCs w:val="16"/>
                    </w:rPr>
                    <w:t>46</w:t>
                  </w:r>
                </w:p>
              </w:tc>
            </w:tr>
            <w:tr>
              <w:tblPrEx>
                <w:tblCellMar>
                  <w:top w:w="0" w:type="dxa"/>
                  <w:left w:w="108" w:type="dxa"/>
                  <w:bottom w:w="0" w:type="dxa"/>
                  <w:right w:w="108" w:type="dxa"/>
                </w:tblCellMar>
              </w:tblPrEx>
              <w:trPr>
                <w:trHeight w:val="768" w:hRule="atLeast"/>
              </w:trPr>
              <w:tc>
                <w:tcPr>
                  <w:tcW w:w="3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模块名</w:t>
                  </w:r>
                </w:p>
              </w:tc>
              <w:tc>
                <w:tcPr>
                  <w:tcW w:w="6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模块最低毕业学分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模块最低总部考试学分</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模块最低设置学分</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序号</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课程代码</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课程名称</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学分</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课程类型</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课程性质</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建议开设学期</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考试单位</w:t>
                  </w:r>
                </w:p>
              </w:tc>
            </w:tr>
            <w:tr>
              <w:tblPrEx>
                <w:tblCellMar>
                  <w:top w:w="0" w:type="dxa"/>
                  <w:left w:w="108" w:type="dxa"/>
                  <w:bottom w:w="0" w:type="dxa"/>
                  <w:right w:w="108" w:type="dxa"/>
                </w:tblCellMar>
              </w:tblPrEx>
              <w:trPr>
                <w:trHeight w:val="288"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共</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础</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2970</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国家开放大学学习指南</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815</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计算机应用基础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51862</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大学信息技术应用基础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51668</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法律基础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300"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思</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想</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政</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治</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11</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4389</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思想道德修养与法律基础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必修</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40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4385</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毛泽东思想和中国特色社会主义理论体系概论</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4391</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习近平新时代中国特色社会主义思想</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4388</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中国传统文化导论</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础</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11</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9</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管理学原理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体育管理学</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体育市场营销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体育产业概论</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市场调查与预测</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体育政策与法规解读</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公共关系实务</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体育健身原理与方法</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32</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23</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6"/>
                      <w:szCs w:val="16"/>
                      <w:lang w:val="en-US" w:eastAsia="zh-CN"/>
                    </w:rPr>
                  </w:pPr>
                  <w:r>
                    <w:rPr>
                      <w:rFonts w:hint="eastAsia" w:ascii="宋体" w:hAnsi="宋体" w:cs="宋体"/>
                      <w:color w:val="000000"/>
                      <w:kern w:val="0"/>
                      <w:sz w:val="16"/>
                      <w:szCs w:val="16"/>
                      <w:lang w:val="en-US" w:eastAsia="zh-CN"/>
                    </w:rPr>
                    <w:t>38</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运动休闲会所运营管理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体育场馆经营与管理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体育赛事组织与管理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体育活动项目策划与运营管理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体育经纪</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人力资源与薪酬管理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体育行业服务与沟通技巧</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体育俱乐部管理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科学膳食营养方案的制定</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34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客户沟通与关系管理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电子商务与网络营销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娱乐体育管理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体育赛事运营与技巧策略</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专业拓展课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人际心理学</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营销心理学</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休闲体育</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健康教育学</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总部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运动保健与康复</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青少年体育运动指导</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游泳</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球类</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体育游戏</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民族传统体育</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有氧操基础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拓展运动</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形体训练</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社会体育竞赛与编排</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健康与体适能</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健身运动处方理论与实践</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识</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04392</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形势与政策</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1-5</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2105</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个人理财</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2495</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实用法律基础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2778</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塑造良好的性格</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51712</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常见心理问题与危机应对</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51688</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大众传播通论</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51686</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法律实务</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51681</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公民权利与义务</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51692</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广告艺术</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51693</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金融基础知识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51691</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人类发展与环境保护</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51709</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社交礼仪</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51704</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生活方式与常见疾病预防</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51683</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实用逻辑基础</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51684</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实用写作</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51708</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信息技术与信息管理</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51700</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性、生育与健康</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51703</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演讲与口才</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51710</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灾难事故避险自救</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288"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51699</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职业与人生</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非统设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324"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综合实践</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66</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50631</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体育活动策划方案</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324"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67</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51011</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专业实习</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必修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分部</w:t>
                  </w:r>
                </w:p>
              </w:tc>
            </w:tr>
            <w:tr>
              <w:tblPrEx>
                <w:tblCellMar>
                  <w:top w:w="0" w:type="dxa"/>
                  <w:left w:w="108" w:type="dxa"/>
                  <w:bottom w:w="0" w:type="dxa"/>
                  <w:right w:w="108" w:type="dxa"/>
                </w:tblCellMar>
              </w:tblPrEx>
              <w:trPr>
                <w:trHeight w:val="336" w:hRule="atLeast"/>
              </w:trPr>
              <w:tc>
                <w:tcPr>
                  <w:tcW w:w="3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公共英语课</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24</w:t>
                  </w: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68</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4017</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管理英语1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69</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4018</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管理英语2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4005</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理工英语1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71</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4006</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理工英语2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72</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4013</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人文英语1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73</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4014</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人文英语2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74</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4009</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商务英语1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r>
              <w:tblPrEx>
                <w:tblCellMar>
                  <w:top w:w="0" w:type="dxa"/>
                  <w:left w:w="108" w:type="dxa"/>
                  <w:bottom w:w="0" w:type="dxa"/>
                  <w:right w:w="108" w:type="dxa"/>
                </w:tblCellMar>
              </w:tblPrEx>
              <w:trPr>
                <w:trHeight w:val="336" w:hRule="atLeast"/>
              </w:trPr>
              <w:tc>
                <w:tcPr>
                  <w:tcW w:w="3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62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6"/>
                      <w:szCs w:val="16"/>
                    </w:rPr>
                  </w:pPr>
                </w:p>
              </w:tc>
              <w:tc>
                <w:tcPr>
                  <w:tcW w:w="3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4010</w:t>
                  </w:r>
                </w:p>
              </w:tc>
              <w:tc>
                <w:tcPr>
                  <w:tcW w:w="2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商务英语2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统设</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选修</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总部</w:t>
                  </w:r>
                </w:p>
              </w:tc>
            </w:tr>
          </w:tbl>
          <w:p>
            <w:pPr>
              <w:spacing w:line="360" w:lineRule="auto"/>
              <w:ind w:firstLine="482" w:firstLineChars="200"/>
              <w:rPr>
                <w:rFonts w:hint="eastAsia" w:asciiTheme="minorEastAsia" w:hAnsiTheme="minorEastAsia" w:eastAsiaTheme="minorEastAsia" w:cstheme="minorEastAsia"/>
                <w:b/>
                <w:bCs w:val="0"/>
                <w:sz w:val="24"/>
                <w:szCs w:val="24"/>
              </w:rPr>
            </w:pPr>
            <w:r>
              <w:rPr>
                <w:rFonts w:hint="eastAsia" w:asciiTheme="minorEastAsia" w:hAnsiTheme="minorEastAsia" w:eastAsiaTheme="minorEastAsia" w:cstheme="minorEastAsia"/>
                <w:b/>
                <w:bCs w:val="0"/>
                <w:sz w:val="24"/>
                <w:szCs w:val="24"/>
              </w:rPr>
              <w:t>八、支持服务能力</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1.师资队伍</w:t>
            </w:r>
          </w:p>
          <w:p>
            <w:pPr>
              <w:spacing w:line="520" w:lineRule="exact"/>
              <w:ind w:firstLine="560" w:firstLineChars="200"/>
              <w:rPr>
                <w:rFonts w:ascii="Times New Roman" w:eastAsia="仿宋_GB2312"/>
                <w:sz w:val="28"/>
                <w:szCs w:val="28"/>
              </w:rPr>
            </w:pPr>
            <w:r>
              <w:rPr>
                <w:rFonts w:ascii="Times New Roman" w:eastAsia="仿宋_GB2312"/>
                <w:sz w:val="28"/>
                <w:szCs w:val="28"/>
              </w:rPr>
              <w:t>本专业</w:t>
            </w:r>
            <w:r>
              <w:rPr>
                <w:rFonts w:hint="eastAsia" w:ascii="Times New Roman" w:eastAsia="仿宋_GB2312"/>
                <w:sz w:val="28"/>
                <w:szCs w:val="28"/>
              </w:rPr>
              <w:t>所有</w:t>
            </w:r>
            <w:r>
              <w:rPr>
                <w:rFonts w:ascii="Times New Roman" w:eastAsia="仿宋_GB2312"/>
                <w:sz w:val="28"/>
                <w:szCs w:val="28"/>
              </w:rPr>
              <w:t>必修课程，均配备具有丰富教学经验的优秀教师担任课程主编主讲。</w:t>
            </w:r>
            <w:r>
              <w:rPr>
                <w:rFonts w:hint="eastAsia" w:ascii="Times New Roman" w:eastAsia="仿宋_GB2312"/>
                <w:sz w:val="28"/>
                <w:szCs w:val="28"/>
              </w:rPr>
              <w:t>本专业采取</w:t>
            </w:r>
            <w:r>
              <w:rPr>
                <w:rFonts w:hint="eastAsia" w:ascii="Times New Roman" w:eastAsia="仿宋_GB2312"/>
                <w:sz w:val="28"/>
                <w:szCs w:val="28"/>
                <w:lang w:eastAsia="zh-CN"/>
              </w:rPr>
              <w:t>总部与</w:t>
            </w:r>
            <w:r>
              <w:rPr>
                <w:rFonts w:hint="eastAsia" w:ascii="Times New Roman" w:eastAsia="仿宋_GB2312"/>
                <w:sz w:val="28"/>
                <w:szCs w:val="28"/>
              </w:rPr>
              <w:t>分部共建的模式，共享优势资源建设必修课程与选修课程。</w:t>
            </w:r>
            <w:r>
              <w:rPr>
                <w:rFonts w:ascii="Times New Roman" w:eastAsia="仿宋_GB2312"/>
                <w:sz w:val="28"/>
                <w:szCs w:val="28"/>
              </w:rPr>
              <w:t>总部</w:t>
            </w:r>
            <w:r>
              <w:rPr>
                <w:rFonts w:hint="eastAsia" w:ascii="Times New Roman" w:eastAsia="仿宋_GB2312"/>
                <w:sz w:val="28"/>
                <w:szCs w:val="28"/>
              </w:rPr>
              <w:t>与分部配备教师32人,其中正高级职称教师10人，副高级职称教师</w:t>
            </w:r>
            <w:r>
              <w:rPr>
                <w:rFonts w:ascii="Times New Roman" w:eastAsia="仿宋_GB2312"/>
                <w:sz w:val="28"/>
                <w:szCs w:val="28"/>
              </w:rPr>
              <w:t>1</w:t>
            </w:r>
            <w:r>
              <w:rPr>
                <w:rFonts w:hint="eastAsia" w:ascii="Times New Roman" w:eastAsia="仿宋_GB2312"/>
                <w:sz w:val="28"/>
                <w:szCs w:val="28"/>
              </w:rPr>
              <w:t>2人，</w:t>
            </w:r>
            <w:r>
              <w:rPr>
                <w:rFonts w:ascii="Times New Roman" w:eastAsia="仿宋_GB2312"/>
                <w:sz w:val="28"/>
                <w:szCs w:val="28"/>
              </w:rPr>
              <w:t>硕士及以上学位</w:t>
            </w:r>
            <w:r>
              <w:rPr>
                <w:rFonts w:hint="eastAsia" w:ascii="Times New Roman" w:eastAsia="仿宋_GB2312"/>
                <w:sz w:val="28"/>
                <w:szCs w:val="28"/>
              </w:rPr>
              <w:t>25</w:t>
            </w:r>
            <w:r>
              <w:rPr>
                <w:rFonts w:ascii="Times New Roman" w:eastAsia="仿宋_GB2312"/>
                <w:sz w:val="28"/>
                <w:szCs w:val="28"/>
              </w:rPr>
              <w:t>人</w:t>
            </w:r>
            <w:r>
              <w:rPr>
                <w:rFonts w:hint="eastAsia" w:ascii="Times New Roman" w:eastAsia="仿宋_GB2312"/>
                <w:sz w:val="28"/>
                <w:szCs w:val="28"/>
              </w:rPr>
              <w:t>，</w:t>
            </w:r>
            <w:r>
              <w:rPr>
                <w:rFonts w:ascii="Times New Roman" w:eastAsia="仿宋_GB2312"/>
                <w:sz w:val="28"/>
                <w:szCs w:val="28"/>
              </w:rPr>
              <w:t>1</w:t>
            </w:r>
            <w:r>
              <w:rPr>
                <w:rFonts w:hint="eastAsia" w:ascii="Times New Roman" w:eastAsia="仿宋_GB2312"/>
                <w:sz w:val="28"/>
                <w:szCs w:val="28"/>
              </w:rPr>
              <w:t>5名教师有海外访学经历。</w:t>
            </w:r>
            <w:r>
              <w:rPr>
                <w:rFonts w:ascii="Times New Roman" w:eastAsia="仿宋_GB2312"/>
                <w:sz w:val="28"/>
                <w:szCs w:val="28"/>
              </w:rPr>
              <w:t>分部为本专业</w:t>
            </w:r>
            <w:r>
              <w:rPr>
                <w:rFonts w:hint="eastAsia" w:ascii="Times New Roman" w:eastAsia="仿宋_GB2312"/>
                <w:sz w:val="28"/>
                <w:szCs w:val="28"/>
              </w:rPr>
              <w:t>的</w:t>
            </w:r>
            <w:r>
              <w:rPr>
                <w:rFonts w:ascii="Times New Roman" w:eastAsia="仿宋_GB2312"/>
                <w:sz w:val="28"/>
                <w:szCs w:val="28"/>
              </w:rPr>
              <w:t>必修课配</w:t>
            </w:r>
            <w:r>
              <w:rPr>
                <w:rFonts w:hint="eastAsia" w:ascii="Times New Roman" w:eastAsia="仿宋_GB2312"/>
                <w:sz w:val="28"/>
                <w:szCs w:val="28"/>
              </w:rPr>
              <w:t>备</w:t>
            </w:r>
            <w:r>
              <w:rPr>
                <w:rFonts w:ascii="Times New Roman" w:eastAsia="仿宋_GB2312"/>
                <w:sz w:val="28"/>
                <w:szCs w:val="28"/>
              </w:rPr>
              <w:t>专业责任教师、课程责任教师</w:t>
            </w:r>
            <w:r>
              <w:rPr>
                <w:rFonts w:hint="eastAsia" w:ascii="Times New Roman" w:eastAsia="仿宋_GB2312"/>
                <w:sz w:val="28"/>
                <w:szCs w:val="28"/>
              </w:rPr>
              <w:t>、</w:t>
            </w:r>
            <w:r>
              <w:rPr>
                <w:rFonts w:ascii="Times New Roman" w:eastAsia="仿宋_GB2312"/>
                <w:sz w:val="28"/>
                <w:szCs w:val="28"/>
              </w:rPr>
              <w:t>课程辅导教师</w:t>
            </w:r>
            <w:r>
              <w:rPr>
                <w:rFonts w:hint="eastAsia" w:ascii="Times New Roman" w:eastAsia="仿宋_GB2312"/>
                <w:sz w:val="28"/>
                <w:szCs w:val="28"/>
              </w:rPr>
              <w:t>和实验</w:t>
            </w:r>
            <w:r>
              <w:rPr>
                <w:rFonts w:ascii="Times New Roman" w:eastAsia="仿宋_GB2312"/>
                <w:sz w:val="28"/>
                <w:szCs w:val="28"/>
              </w:rPr>
              <w:t>教师</w:t>
            </w:r>
            <w:r>
              <w:rPr>
                <w:rFonts w:hint="eastAsia" w:ascii="Times New Roman" w:eastAsia="仿宋_GB2312"/>
                <w:sz w:val="28"/>
                <w:szCs w:val="28"/>
              </w:rPr>
              <w:t>等</w:t>
            </w:r>
            <w:r>
              <w:rPr>
                <w:rFonts w:ascii="Times New Roman" w:eastAsia="仿宋_GB2312"/>
                <w:sz w:val="28"/>
                <w:szCs w:val="28"/>
              </w:rPr>
              <w:t>，以满足教学需要</w:t>
            </w:r>
            <w:r>
              <w:rPr>
                <w:rFonts w:hint="eastAsia" w:ascii="Times New Roman" w:eastAsia="仿宋_GB2312"/>
                <w:sz w:val="28"/>
                <w:szCs w:val="28"/>
              </w:rPr>
              <w:t>。</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2.教学过程</w:t>
            </w:r>
          </w:p>
          <w:p>
            <w:pPr>
              <w:spacing w:line="520" w:lineRule="exact"/>
              <w:ind w:firstLine="560" w:firstLineChars="200"/>
              <w:rPr>
                <w:rFonts w:ascii="Times New Roman" w:eastAsia="仿宋_GB2312"/>
                <w:sz w:val="28"/>
                <w:szCs w:val="28"/>
              </w:rPr>
            </w:pPr>
            <w:r>
              <w:rPr>
                <w:rFonts w:hint="eastAsia" w:ascii="Times New Roman" w:eastAsia="仿宋_GB2312"/>
                <w:sz w:val="28"/>
                <w:szCs w:val="28"/>
              </w:rPr>
              <w:t>教学过程。国家开放大学教学工作由总部、分部、学院和学习中心共同完成。</w:t>
            </w:r>
            <w:r>
              <w:rPr>
                <w:rFonts w:ascii="Times New Roman" w:eastAsia="仿宋_GB2312"/>
                <w:sz w:val="28"/>
                <w:szCs w:val="28"/>
              </w:rPr>
              <w:t>教师教学过程可分解为教学准备、学习组织、学习</w:t>
            </w:r>
            <w:r>
              <w:rPr>
                <w:rFonts w:hint="eastAsia" w:ascii="Times New Roman" w:eastAsia="仿宋_GB2312"/>
                <w:sz w:val="28"/>
                <w:szCs w:val="28"/>
              </w:rPr>
              <w:t>评价</w:t>
            </w:r>
            <w:r>
              <w:rPr>
                <w:rFonts w:ascii="Times New Roman" w:eastAsia="仿宋_GB2312"/>
                <w:sz w:val="28"/>
                <w:szCs w:val="28"/>
              </w:rPr>
              <w:t>三个主要环节，以及贯穿全过程的支持服务、咨询答疑、教学研讨和教学反思。根据每个环节的特点、教学任务和主要职责的变化可分解为若干子过程，由此与学生选课、制定学习计划、查看学习资源、参加学习活动、参加学习辅导、咨询答疑、完成作业、参加考试等学习过程相对应。以上教学过程可通过教师单独完成，也可通过网络教学团队来执行和完成。</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3.教学资源</w:t>
            </w:r>
          </w:p>
          <w:p>
            <w:pPr>
              <w:spacing w:line="520" w:lineRule="exact"/>
              <w:ind w:firstLine="560" w:firstLineChars="200"/>
              <w:rPr>
                <w:rFonts w:ascii="Times New Roman" w:eastAsia="仿宋_GB2312"/>
                <w:sz w:val="28"/>
                <w:szCs w:val="28"/>
              </w:rPr>
            </w:pPr>
            <w:r>
              <w:rPr>
                <w:rFonts w:hint="eastAsia" w:ascii="Times New Roman" w:eastAsia="仿宋_GB2312"/>
                <w:sz w:val="28"/>
                <w:szCs w:val="28"/>
              </w:rPr>
              <w:t>本专业将为学生提供丰富的专业学习资源。</w:t>
            </w:r>
            <w:r>
              <w:rPr>
                <w:rFonts w:ascii="Times New Roman" w:eastAsia="仿宋_GB2312"/>
                <w:sz w:val="28"/>
                <w:szCs w:val="28"/>
              </w:rPr>
              <w:t>为了适</w:t>
            </w:r>
            <w:r>
              <w:rPr>
                <w:rFonts w:hint="eastAsia" w:ascii="Times New Roman" w:eastAsia="仿宋_GB2312"/>
                <w:sz w:val="28"/>
                <w:szCs w:val="28"/>
              </w:rPr>
              <w:t>应</w:t>
            </w:r>
            <w:r>
              <w:rPr>
                <w:rFonts w:ascii="Times New Roman" w:eastAsia="仿宋_GB2312"/>
                <w:sz w:val="28"/>
                <w:szCs w:val="28"/>
              </w:rPr>
              <w:t>远程开放教育</w:t>
            </w:r>
            <w:r>
              <w:rPr>
                <w:rFonts w:hint="eastAsia" w:ascii="Times New Roman" w:eastAsia="仿宋_GB2312"/>
                <w:sz w:val="28"/>
                <w:szCs w:val="28"/>
              </w:rPr>
              <w:t>学习特点</w:t>
            </w:r>
            <w:r>
              <w:rPr>
                <w:rFonts w:ascii="Times New Roman" w:eastAsia="仿宋_GB2312"/>
                <w:sz w:val="28"/>
                <w:szCs w:val="28"/>
              </w:rPr>
              <w:t>，</w:t>
            </w:r>
            <w:r>
              <w:rPr>
                <w:rFonts w:hint="eastAsia" w:ascii="Times New Roman" w:eastAsia="仿宋_GB2312"/>
                <w:sz w:val="28"/>
                <w:szCs w:val="28"/>
              </w:rPr>
              <w:t>总部与分部均将建设多种类型的教学资源，如专业文字教材、视频教材、音频教材、直播课堂、网络课程、微课程等，多样化的学习资源能够有效满足学生日渐增长的移动学习的需要。</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4.设施设备</w:t>
            </w:r>
          </w:p>
          <w:p>
            <w:pPr>
              <w:spacing w:line="520" w:lineRule="exact"/>
              <w:ind w:firstLine="560" w:firstLineChars="200"/>
              <w:rPr>
                <w:rFonts w:ascii="Times New Roman" w:eastAsia="仿宋_GB2312"/>
                <w:sz w:val="28"/>
                <w:szCs w:val="28"/>
              </w:rPr>
            </w:pPr>
            <w:r>
              <w:rPr>
                <w:rFonts w:hint="eastAsia" w:ascii="Times New Roman" w:eastAsia="仿宋_GB2312"/>
                <w:sz w:val="28"/>
                <w:szCs w:val="28"/>
              </w:rPr>
              <w:t>教学设施。</w:t>
            </w:r>
            <w:r>
              <w:rPr>
                <w:rFonts w:ascii="Times New Roman" w:eastAsia="仿宋_GB2312"/>
                <w:sz w:val="28"/>
                <w:szCs w:val="28"/>
              </w:rPr>
              <w:t>开设本专业的分部</w:t>
            </w:r>
            <w:r>
              <w:rPr>
                <w:rFonts w:hint="eastAsia" w:ascii="Times New Roman" w:eastAsia="仿宋_GB2312"/>
                <w:sz w:val="28"/>
                <w:szCs w:val="28"/>
              </w:rPr>
              <w:t>、地方学院、学习</w:t>
            </w:r>
            <w:r>
              <w:rPr>
                <w:rFonts w:ascii="Times New Roman" w:eastAsia="仿宋_GB2312"/>
                <w:sz w:val="28"/>
                <w:szCs w:val="28"/>
              </w:rPr>
              <w:t>中心应配备适应开放教育学习使用的各种硬件支撑条件，包括视听教室、多媒体、网络和计算机教室、语音教室、拥有卫星电视收视系统设备、教学实习基地、讨论和辅导教室等</w:t>
            </w:r>
            <w:r>
              <w:rPr>
                <w:rFonts w:hint="eastAsia" w:ascii="Times New Roman" w:eastAsia="仿宋_GB2312"/>
                <w:sz w:val="28"/>
                <w:szCs w:val="28"/>
              </w:rPr>
              <w:t>。</w:t>
            </w:r>
          </w:p>
          <w:p>
            <w:pPr>
              <w:spacing w:line="520" w:lineRule="exact"/>
              <w:ind w:firstLine="560" w:firstLineChars="200"/>
              <w:rPr>
                <w:rFonts w:ascii="Times New Roman" w:eastAsia="仿宋_GB2312"/>
                <w:sz w:val="28"/>
                <w:szCs w:val="28"/>
              </w:rPr>
            </w:pPr>
            <w:r>
              <w:rPr>
                <w:rFonts w:hint="eastAsia" w:ascii="Times New Roman" w:eastAsia="仿宋_GB2312"/>
                <w:sz w:val="28"/>
                <w:szCs w:val="28"/>
              </w:rPr>
              <w:t>教学平台。</w:t>
            </w:r>
            <w:r>
              <w:rPr>
                <w:rFonts w:ascii="Times New Roman" w:eastAsia="仿宋_GB2312"/>
                <w:sz w:val="28"/>
                <w:szCs w:val="28"/>
              </w:rPr>
              <w:t>国家开放大学学习网</w:t>
            </w:r>
            <w:r>
              <w:rPr>
                <w:rFonts w:hint="eastAsia" w:ascii="Times New Roman" w:eastAsia="仿宋_GB2312"/>
                <w:sz w:val="28"/>
                <w:szCs w:val="28"/>
              </w:rPr>
              <w:t>（www.ouchn.cn</w:t>
            </w:r>
            <w:r>
              <w:rPr>
                <w:rFonts w:ascii="Times New Roman" w:eastAsia="仿宋_GB2312"/>
                <w:sz w:val="28"/>
                <w:szCs w:val="28"/>
              </w:rPr>
              <w:t>）是开放大学网上教学平台</w:t>
            </w:r>
            <w:r>
              <w:rPr>
                <w:rFonts w:hint="eastAsia" w:ascii="Times New Roman" w:eastAsia="仿宋_GB2312"/>
                <w:sz w:val="28"/>
                <w:szCs w:val="28"/>
              </w:rPr>
              <w:t>。</w:t>
            </w:r>
            <w:r>
              <w:rPr>
                <w:rFonts w:ascii="Times New Roman" w:eastAsia="仿宋_GB2312"/>
                <w:sz w:val="28"/>
                <w:szCs w:val="28"/>
              </w:rPr>
              <w:t>教学平台上每一个注册学生都有学生空间，所学习的课程都放在学生空间中</w:t>
            </w:r>
            <w:r>
              <w:rPr>
                <w:rFonts w:hint="eastAsia" w:ascii="Times New Roman" w:eastAsia="仿宋_GB2312"/>
                <w:sz w:val="28"/>
                <w:szCs w:val="28"/>
              </w:rPr>
              <w:t>。网络</w:t>
            </w:r>
            <w:r>
              <w:rPr>
                <w:rFonts w:ascii="Times New Roman" w:eastAsia="仿宋_GB2312"/>
                <w:sz w:val="28"/>
                <w:szCs w:val="28"/>
              </w:rPr>
              <w:t>课程</w:t>
            </w:r>
            <w:r>
              <w:rPr>
                <w:rFonts w:hint="eastAsia" w:ascii="Times New Roman" w:eastAsia="仿宋_GB2312"/>
                <w:sz w:val="28"/>
                <w:szCs w:val="28"/>
              </w:rPr>
              <w:t>具有</w:t>
            </w:r>
            <w:r>
              <w:rPr>
                <w:rFonts w:ascii="Times New Roman" w:eastAsia="仿宋_GB2312"/>
                <w:sz w:val="28"/>
                <w:szCs w:val="28"/>
              </w:rPr>
              <w:t>支持网上学习、提交作业、自主测试、实时和非实时辅导答疑、论坛等功能，满足教学互动、协作学习等需要。</w:t>
            </w:r>
          </w:p>
          <w:p>
            <w:pPr>
              <w:spacing w:line="520" w:lineRule="exact"/>
              <w:ind w:firstLine="560" w:firstLineChars="200"/>
              <w:rPr>
                <w:rFonts w:ascii="Times New Roman" w:eastAsia="仿宋_GB2312"/>
                <w:sz w:val="28"/>
                <w:szCs w:val="28"/>
              </w:rPr>
            </w:pPr>
            <w:r>
              <w:rPr>
                <w:rFonts w:hint="eastAsia" w:ascii="Times New Roman" w:eastAsia="仿宋_GB2312"/>
                <w:sz w:val="28"/>
                <w:szCs w:val="28"/>
              </w:rPr>
              <w:t>管理平台。</w:t>
            </w:r>
            <w:r>
              <w:rPr>
                <w:rFonts w:ascii="Times New Roman" w:eastAsia="仿宋_GB2312"/>
                <w:sz w:val="28"/>
                <w:szCs w:val="28"/>
              </w:rPr>
              <w:t>国家开放大学有教学管理平台和考试管理平台的网络平台，能够满足系统教学管理需要，教学管理规范、有效。此外，国家开放大学学习网也具有</w:t>
            </w:r>
            <w:r>
              <w:rPr>
                <w:rFonts w:hint="eastAsia" w:ascii="Times New Roman" w:eastAsia="仿宋_GB2312"/>
                <w:sz w:val="28"/>
                <w:szCs w:val="28"/>
              </w:rPr>
              <w:t>“教学数据统计查询”、“管理监控”等</w:t>
            </w:r>
            <w:r>
              <w:rPr>
                <w:rFonts w:ascii="Times New Roman" w:eastAsia="仿宋_GB2312"/>
                <w:sz w:val="28"/>
                <w:szCs w:val="28"/>
              </w:rPr>
              <w:t>教学管理的功能，可以记录学生网上学习过程和学习行为，提供教学管理数据。</w:t>
            </w:r>
          </w:p>
          <w:p>
            <w:pPr>
              <w:spacing w:line="520" w:lineRule="exact"/>
              <w:ind w:firstLine="560" w:firstLineChars="200"/>
              <w:rPr>
                <w:rFonts w:ascii="Times New Roman" w:eastAsia="仿宋_GB2312"/>
                <w:sz w:val="28"/>
                <w:szCs w:val="28"/>
              </w:rPr>
            </w:pPr>
            <w:bookmarkStart w:id="8" w:name="_Toc451696756"/>
            <w:r>
              <w:rPr>
                <w:rFonts w:hint="eastAsia" w:ascii="Times New Roman" w:eastAsia="仿宋_GB2312"/>
                <w:sz w:val="28"/>
                <w:szCs w:val="28"/>
              </w:rPr>
              <w:t>教学</w:t>
            </w:r>
            <w:r>
              <w:rPr>
                <w:rFonts w:ascii="Times New Roman" w:eastAsia="仿宋_GB2312"/>
                <w:sz w:val="28"/>
                <w:szCs w:val="28"/>
              </w:rPr>
              <w:t>实践基地</w:t>
            </w:r>
            <w:bookmarkEnd w:id="8"/>
            <w:r>
              <w:rPr>
                <w:rFonts w:hint="eastAsia" w:ascii="Times New Roman" w:eastAsia="仿宋_GB2312"/>
                <w:sz w:val="28"/>
                <w:szCs w:val="28"/>
              </w:rPr>
              <w:t>。为了加强实践教学，各分部可充分利用当地资源开展多样的实践活动。鼓励有条件的分部、学院和学习中心与当地体育院校、企事业</w:t>
            </w:r>
            <w:r>
              <w:rPr>
                <w:rFonts w:ascii="Times New Roman" w:eastAsia="仿宋_GB2312"/>
                <w:sz w:val="28"/>
                <w:szCs w:val="28"/>
              </w:rPr>
              <w:t>机构</w:t>
            </w:r>
            <w:r>
              <w:rPr>
                <w:rFonts w:hint="eastAsia" w:ascii="Times New Roman" w:eastAsia="仿宋_GB2312"/>
                <w:sz w:val="28"/>
                <w:szCs w:val="28"/>
              </w:rPr>
              <w:t>合作建立教学</w:t>
            </w:r>
            <w:r>
              <w:rPr>
                <w:rFonts w:ascii="Times New Roman" w:eastAsia="仿宋_GB2312"/>
                <w:sz w:val="28"/>
                <w:szCs w:val="28"/>
              </w:rPr>
              <w:t>实验</w:t>
            </w:r>
            <w:r>
              <w:rPr>
                <w:rFonts w:hint="eastAsia" w:ascii="Times New Roman" w:eastAsia="仿宋_GB2312"/>
                <w:sz w:val="28"/>
                <w:szCs w:val="28"/>
              </w:rPr>
              <w:t>基地。此外，大比例学生为在职人员，学生本身的岗位具备实践条件也可进行随岗实践。</w:t>
            </w:r>
          </w:p>
          <w:p>
            <w:pPr>
              <w:spacing w:line="520" w:lineRule="exact"/>
              <w:ind w:firstLine="560" w:firstLineChars="200"/>
              <w:rPr>
                <w:b/>
              </w:rPr>
            </w:pPr>
            <w:r>
              <w:rPr>
                <w:rFonts w:ascii="Times New Roman" w:eastAsia="仿宋_GB2312"/>
                <w:sz w:val="28"/>
                <w:szCs w:val="28"/>
              </w:rPr>
              <w:t>图书资料与学习资源</w:t>
            </w:r>
            <w:r>
              <w:rPr>
                <w:rFonts w:hint="eastAsia" w:ascii="Times New Roman" w:eastAsia="仿宋_GB2312"/>
                <w:sz w:val="28"/>
                <w:szCs w:val="28"/>
              </w:rPr>
              <w:t>。总部、分部、学院和有条件的学习中心都建有图书馆和数字图书馆。其中总部图书馆藏有本专业中文图书（含电子图书）</w:t>
            </w:r>
            <w:r>
              <w:rPr>
                <w:rFonts w:ascii="Times New Roman" w:eastAsia="仿宋_GB2312"/>
                <w:sz w:val="28"/>
                <w:szCs w:val="28"/>
              </w:rPr>
              <w:t>15</w:t>
            </w:r>
            <w:r>
              <w:rPr>
                <w:rFonts w:hint="eastAsia" w:ascii="Times New Roman" w:eastAsia="仿宋_GB2312"/>
                <w:sz w:val="28"/>
                <w:szCs w:val="28"/>
              </w:rPr>
              <w:t>万册，外文书籍1.</w:t>
            </w:r>
            <w:r>
              <w:rPr>
                <w:rFonts w:ascii="Times New Roman" w:eastAsia="仿宋_GB2312"/>
                <w:sz w:val="28"/>
                <w:szCs w:val="28"/>
              </w:rPr>
              <w:t>1</w:t>
            </w:r>
            <w:r>
              <w:rPr>
                <w:rFonts w:hint="eastAsia" w:ascii="Times New Roman" w:eastAsia="仿宋_GB2312"/>
                <w:sz w:val="28"/>
                <w:szCs w:val="28"/>
              </w:rPr>
              <w:t>万册。另外，专业期刊也很丰富，包括中文期刊1</w:t>
            </w:r>
            <w:r>
              <w:rPr>
                <w:rFonts w:ascii="Times New Roman" w:eastAsia="仿宋_GB2312"/>
                <w:sz w:val="28"/>
                <w:szCs w:val="28"/>
              </w:rPr>
              <w:t>2</w:t>
            </w:r>
            <w:r>
              <w:rPr>
                <w:rFonts w:hint="eastAsia" w:ascii="Times New Roman" w:eastAsia="仿宋_GB2312"/>
                <w:sz w:val="28"/>
                <w:szCs w:val="28"/>
              </w:rPr>
              <w:t>80种，外文期刊26种。总部数字图书馆还配备了中国知网、万方知识服务平台、龙源期刊网、维普期刊文献、博看社科期刊、超星数字图书馆电子书、超星学术视频、方正Apabi电子书、中国大百科全书、EBM外文电子书等，提供了丰富的数字图书资源。全国国家开放大学的学生和教职工都可以通过使用远程访问软件“国开阅读通”随时上网阅读数字图书和查阅资料。</w:t>
            </w:r>
          </w:p>
        </w:tc>
      </w:tr>
    </w:tbl>
    <w:p>
      <w:pPr>
        <w:widowControl/>
        <w:jc w:val="left"/>
        <w:rPr>
          <w:rFonts w:ascii="Times New Roman" w:hAnsi="黑体" w:eastAsia="黑体"/>
          <w:sz w:val="32"/>
          <w:szCs w:val="32"/>
        </w:rPr>
      </w:pPr>
      <w:r>
        <w:rPr>
          <w:rFonts w:ascii="Times New Roman" w:hAnsi="黑体" w:eastAsia="黑体"/>
          <w:sz w:val="32"/>
          <w:szCs w:val="32"/>
        </w:rPr>
        <w:br w:type="page"/>
      </w:r>
    </w:p>
    <w:p>
      <w:pPr>
        <w:spacing w:after="156" w:afterLines="50" w:line="580" w:lineRule="exact"/>
        <w:jc w:val="center"/>
        <w:rPr>
          <w:rFonts w:ascii="Times New Roman" w:hAnsi="Times New Roman" w:eastAsia="黑体"/>
          <w:sz w:val="32"/>
          <w:szCs w:val="32"/>
        </w:rPr>
      </w:pPr>
      <w:r>
        <w:rPr>
          <w:rFonts w:ascii="Times New Roman" w:hAnsi="黑体" w:eastAsia="黑体"/>
          <w:sz w:val="32"/>
          <w:szCs w:val="32"/>
        </w:rPr>
        <w:t>增设专业专任教师情况</w:t>
      </w:r>
      <w:r>
        <w:commentReference w:id="0"/>
      </w:r>
    </w:p>
    <w:tbl>
      <w:tblPr>
        <w:tblStyle w:val="9"/>
        <w:tblW w:w="555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82"/>
        <w:gridCol w:w="783"/>
        <w:gridCol w:w="522"/>
        <w:gridCol w:w="510"/>
        <w:gridCol w:w="1043"/>
        <w:gridCol w:w="1325"/>
        <w:gridCol w:w="1490"/>
        <w:gridCol w:w="1150"/>
        <w:gridCol w:w="957"/>
        <w:gridCol w:w="10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序号</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姓名</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性别</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年龄</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专业技术职务</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第一学历毕业学校、专业、学位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eastAsiaTheme="minorEastAsia"/>
                <w:sz w:val="22"/>
                <w:szCs w:val="24"/>
              </w:rPr>
            </w:pPr>
            <w:r>
              <w:rPr>
                <w:rFonts w:ascii="Times New Roman" w:hAnsiTheme="minorEastAsia" w:eastAsiaTheme="minorEastAsia"/>
                <w:sz w:val="22"/>
                <w:szCs w:val="24"/>
              </w:rPr>
              <w:t>最后学历毕业学校、专业、学位</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imes New Roman" w:eastAsiaTheme="minorEastAsia"/>
                <w:sz w:val="22"/>
                <w:szCs w:val="24"/>
              </w:rPr>
            </w:pPr>
            <w:r>
              <w:rPr>
                <w:rFonts w:ascii="Times New Roman" w:hAnsiTheme="minorEastAsia" w:eastAsiaTheme="minorEastAsia"/>
                <w:sz w:val="22"/>
                <w:szCs w:val="24"/>
              </w:rPr>
              <w:t>现从事</w:t>
            </w:r>
          </w:p>
          <w:p>
            <w:pPr>
              <w:spacing w:line="340" w:lineRule="exact"/>
              <w:ind w:right="-105" w:rightChars="-50"/>
              <w:jc w:val="center"/>
              <w:rPr>
                <w:rFonts w:ascii="Times New Roman" w:hAnsi="Times New Roman" w:eastAsiaTheme="minorEastAsia"/>
                <w:sz w:val="22"/>
                <w:szCs w:val="24"/>
              </w:rPr>
            </w:pPr>
            <w:r>
              <w:rPr>
                <w:rFonts w:ascii="Times New Roman" w:hAnsiTheme="minorEastAsia" w:eastAsiaTheme="minorEastAsia"/>
                <w:sz w:val="22"/>
                <w:szCs w:val="24"/>
              </w:rPr>
              <w:t>专业</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imes New Roman" w:eastAsiaTheme="minorEastAsia"/>
                <w:sz w:val="22"/>
                <w:szCs w:val="24"/>
              </w:rPr>
            </w:pPr>
            <w:r>
              <w:rPr>
                <w:rFonts w:ascii="Times New Roman" w:hAnsiTheme="minorEastAsia" w:eastAsiaTheme="minorEastAsia"/>
                <w:sz w:val="22"/>
                <w:szCs w:val="24"/>
              </w:rPr>
              <w:t>拟任</w:t>
            </w:r>
          </w:p>
          <w:p>
            <w:pPr>
              <w:spacing w:line="340" w:lineRule="exact"/>
              <w:ind w:right="-105" w:rightChars="-50"/>
              <w:jc w:val="center"/>
              <w:rPr>
                <w:rFonts w:ascii="Times New Roman" w:hAnsi="Times New Roman" w:eastAsiaTheme="minorEastAsia"/>
                <w:sz w:val="22"/>
                <w:szCs w:val="24"/>
              </w:rPr>
            </w:pPr>
            <w:r>
              <w:rPr>
                <w:rFonts w:ascii="Times New Roman" w:hAnsiTheme="minorEastAsia" w:eastAsiaTheme="minorEastAsia"/>
                <w:sz w:val="22"/>
                <w:szCs w:val="24"/>
              </w:rPr>
              <w:t>课程</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imes New Roman" w:eastAsiaTheme="minorEastAsia"/>
                <w:sz w:val="22"/>
                <w:szCs w:val="24"/>
              </w:rPr>
            </w:pPr>
            <w:r>
              <w:rPr>
                <w:rFonts w:ascii="Times New Roman" w:hAnsiTheme="minorEastAsia" w:eastAsiaTheme="minorEastAsia"/>
                <w:sz w:val="22"/>
                <w:szCs w:val="24"/>
              </w:rPr>
              <w:t>专职</w:t>
            </w:r>
            <w:r>
              <w:rPr>
                <w:rFonts w:ascii="Times New Roman" w:hAnsi="Times New Roman" w:eastAsiaTheme="minorEastAsia"/>
                <w:sz w:val="22"/>
                <w:szCs w:val="24"/>
              </w:rPr>
              <w:t>/</w:t>
            </w:r>
          </w:p>
          <w:p>
            <w:pPr>
              <w:spacing w:line="340" w:lineRule="exact"/>
              <w:ind w:right="-105" w:rightChars="-50"/>
              <w:jc w:val="center"/>
              <w:rPr>
                <w:rFonts w:ascii="Times New Roman" w:hAnsi="Times New Roman" w:eastAsiaTheme="minorEastAsia"/>
                <w:sz w:val="22"/>
                <w:szCs w:val="24"/>
              </w:rPr>
            </w:pPr>
            <w:r>
              <w:rPr>
                <w:rFonts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陈碧华</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60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湖南文理学院、体育教育</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华东师范大学、体育教育、学士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林志军</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武汉体育学院、体育教育、学士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武汉体育学院、体育教育、硕士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曾伟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重庆大学、软件工程、硕士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白晋湘</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56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华中科技大学、高校管理、博士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陈捷</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湖南城市学院、体育教育</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北京体育大学、体育教育、学士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王可</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47</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武汉体育学院、体育教育、学士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武汉体育学院、体育教育、硕士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宋彩珍</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吉首大学、体育教育、学士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吉首大学、体育教育、硕士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杨世勇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59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成都体育学院</w:t>
            </w:r>
            <w:r>
              <w:rPr>
                <w:rFonts w:hint="eastAsia" w:ascii="Times New Roman" w:hAnsiTheme="minorEastAsia" w:eastAsiaTheme="minorEastAsia"/>
                <w:sz w:val="22"/>
                <w:szCs w:val="24"/>
              </w:rPr>
              <w:t>、</w:t>
            </w:r>
            <w:r>
              <w:rPr>
                <w:rFonts w:ascii="Times New Roman" w:hAnsiTheme="minorEastAsia" w:eastAsiaTheme="minorEastAsia"/>
                <w:sz w:val="22"/>
                <w:szCs w:val="24"/>
              </w:rPr>
              <w:t>体教专业</w:t>
            </w:r>
            <w:r>
              <w:rPr>
                <w:rFonts w:hint="eastAsia" w:ascii="Times New Roman" w:hAnsiTheme="minorEastAsia" w:eastAsiaTheme="minorEastAsia"/>
                <w:sz w:val="22"/>
                <w:szCs w:val="24"/>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9</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向勇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四川大学、体育教育专业、博士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10</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蒋相和</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56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四川大学、体育教育专业、学士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四川大学、体育教育专业、博士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郭贤锋</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37</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湖南理工学院、体育教育、学士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中南大学、MPA硕士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陈晓华</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熊纯子</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36</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成都体育学院、运动训练、学士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李玲</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58</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成都体育学院，排球专业，教育学学士学位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成都体育学院，排球专业，教育学学士学位</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江霞</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55</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成都体育学院、体育田径专业、学士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成都体育学院、体育田径专业、学士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周强猛</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湖南城市学院、体育教育</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北京体育大学、体育教育、硕士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王世伟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38</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成都体育学院</w:t>
            </w:r>
            <w:r>
              <w:rPr>
                <w:rFonts w:hint="eastAsia" w:ascii="Times New Roman" w:hAnsiTheme="minorEastAsia" w:eastAsiaTheme="minorEastAsia"/>
                <w:sz w:val="22"/>
                <w:szCs w:val="24"/>
              </w:rPr>
              <w:t>、体育训练学、学士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北京体育大学、体育训练学、博士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蒋徐万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43</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成都体育学院、体育系体育专业、获得学士学位</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成都体育学院、体育系体育专业、硕士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19</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王洪珅</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41</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成都体育学院、体育教育训练学专业、 教育学硕士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20</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温晓媛</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成都体育学院、体育系体育专业、硕士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刘正杰</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42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北京体育大学、体育教育、学士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北京体育大学、体育教育训练、硕士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段宏伟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w:t>
            </w:r>
            <w:r>
              <w:rPr>
                <w:rFonts w:ascii="Times New Roman" w:hAnsiTheme="minorEastAsia" w:eastAsiaTheme="minorEastAsia"/>
                <w:sz w:val="22"/>
                <w:szCs w:val="24"/>
              </w:rPr>
              <w:t>0</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副教授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西安体育学院</w:t>
            </w:r>
          </w:p>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西安体育学院</w:t>
            </w:r>
          </w:p>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王国鹏</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助理研究员</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北京体育大学、运动训练学、教育学学士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北京体育大学、体育教育训练学、教育学硕士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合作办</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足球</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24</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轩永昌</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助理研究员</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成都体育学院</w:t>
            </w:r>
            <w:r>
              <w:rPr>
                <w:rFonts w:hint="eastAsia" w:ascii="Times New Roman" w:hAnsiTheme="minorEastAsia" w:eastAsiaTheme="minorEastAsia"/>
                <w:sz w:val="22"/>
                <w:szCs w:val="24"/>
              </w:rPr>
              <w:t>、</w:t>
            </w:r>
            <w:r>
              <w:rPr>
                <w:rFonts w:ascii="Times New Roman" w:hAnsiTheme="minorEastAsia" w:eastAsiaTheme="minorEastAsia"/>
                <w:sz w:val="22"/>
                <w:szCs w:val="24"/>
              </w:rPr>
              <w:t>体教专业</w:t>
            </w:r>
            <w:r>
              <w:rPr>
                <w:rFonts w:hint="eastAsia" w:ascii="Times New Roman" w:hAnsiTheme="minorEastAsia" w:eastAsiaTheme="minorEastAsia"/>
                <w:sz w:val="22"/>
                <w:szCs w:val="24"/>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成都体育学院、体育教育训练学专业、 教育学硕士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25</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张斯</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湖南师范大学、民族传统体育、学士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湖南师范大学、民族传统体育、硕士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民族传统体育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26</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邱颖俊</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31</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湖南科技大学、体育教育、学士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广西师范大学、运动训练、硕士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27</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胡煜</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29</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湖南师范大学、体育教育、硕士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28</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薛飞娟</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女</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31</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中学中级</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吉首大学、体育教育、学士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吉首大学、体育教育、硕士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29</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付又仁</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成都体育学院、体育教育专业、学士学学士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成都体育学院、体育教育专业、教育学学士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刘祎</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41</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四川师范大学、体育教育、学士</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四川师范大学、体育教育、学士</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31</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龙游</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38</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成都体育学院、体教专业、学士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成都体育学院、体教专业、学士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32</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韩宏思</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3</w:t>
            </w:r>
            <w:r>
              <w:rPr>
                <w:rFonts w:ascii="Times New Roman" w:hAnsiTheme="minorEastAsia" w:eastAsiaTheme="minorEastAsia"/>
                <w:sz w:val="22"/>
                <w:szCs w:val="24"/>
              </w:rPr>
              <w:t>2</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讲师</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西安体育学院</w:t>
            </w:r>
          </w:p>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西安体育学院</w:t>
            </w:r>
          </w:p>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游泳</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ind w:right="-105" w:rightChars="-50"/>
              <w:jc w:val="center"/>
              <w:rPr>
                <w:rFonts w:ascii="Times New Roman" w:hAnsiTheme="minorEastAsia" w:eastAsiaTheme="minorEastAsia"/>
                <w:sz w:val="22"/>
                <w:szCs w:val="24"/>
              </w:rPr>
            </w:pPr>
            <w:r>
              <w:rPr>
                <w:rFonts w:hint="eastAsia" w:ascii="Times New Roman" w:hAnsiTheme="minorEastAsia" w:eastAsiaTheme="minorEastAsia"/>
                <w:sz w:val="22"/>
                <w:szCs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6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4"/>
              </w:rPr>
            </w:pPr>
            <w:r>
              <w:rPr>
                <w:rFonts w:hint="eastAsia" w:ascii="Times New Roman" w:hAnsi="Times New Roman"/>
                <w:sz w:val="22"/>
                <w:szCs w:val="24"/>
              </w:rPr>
              <w:t>33</w:t>
            </w:r>
          </w:p>
        </w:tc>
        <w:tc>
          <w:tcPr>
            <w:tcW w:w="78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周文</w:t>
            </w:r>
          </w:p>
        </w:tc>
        <w:tc>
          <w:tcPr>
            <w:tcW w:w="52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男</w:t>
            </w:r>
          </w:p>
        </w:tc>
        <w:tc>
          <w:tcPr>
            <w:tcW w:w="51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34</w:t>
            </w:r>
          </w:p>
        </w:tc>
        <w:tc>
          <w:tcPr>
            <w:tcW w:w="1043"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助理研究员</w:t>
            </w:r>
          </w:p>
        </w:tc>
        <w:tc>
          <w:tcPr>
            <w:tcW w:w="1325"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许昌学院体育教育</w:t>
            </w:r>
          </w:p>
          <w:p>
            <w:pPr>
              <w:spacing w:line="340" w:lineRule="exact"/>
              <w:jc w:val="center"/>
              <w:rPr>
                <w:rFonts w:ascii="Times New Roman" w:hAnsi="Times New Roman"/>
                <w:sz w:val="22"/>
                <w:szCs w:val="21"/>
              </w:rPr>
            </w:pPr>
            <w:r>
              <w:rPr>
                <w:rFonts w:hint="eastAsia" w:ascii="Times New Roman" w:hAnsi="Times New Roman"/>
                <w:sz w:val="22"/>
                <w:szCs w:val="21"/>
              </w:rPr>
              <w:t>学士</w:t>
            </w:r>
          </w:p>
        </w:tc>
        <w:tc>
          <w:tcPr>
            <w:tcW w:w="149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北京体育大学</w:t>
            </w:r>
          </w:p>
          <w:p>
            <w:pPr>
              <w:spacing w:line="340" w:lineRule="exact"/>
              <w:jc w:val="center"/>
              <w:rPr>
                <w:rFonts w:ascii="Times New Roman" w:hAnsi="Times New Roman"/>
                <w:sz w:val="22"/>
                <w:szCs w:val="21"/>
              </w:rPr>
            </w:pPr>
            <w:r>
              <w:rPr>
                <w:rFonts w:hint="eastAsia" w:ascii="Times New Roman" w:hAnsi="Times New Roman"/>
                <w:sz w:val="22"/>
                <w:szCs w:val="21"/>
              </w:rPr>
              <w:t>硕士</w:t>
            </w:r>
          </w:p>
        </w:tc>
        <w:tc>
          <w:tcPr>
            <w:tcW w:w="1150"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体育教育</w:t>
            </w:r>
          </w:p>
        </w:tc>
        <w:tc>
          <w:tcPr>
            <w:tcW w:w="957"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体育</w:t>
            </w:r>
          </w:p>
        </w:tc>
        <w:tc>
          <w:tcPr>
            <w:tcW w:w="1009"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imes New Roman"/>
                <w:sz w:val="22"/>
                <w:szCs w:val="21"/>
              </w:rPr>
            </w:pPr>
            <w:r>
              <w:rPr>
                <w:rFonts w:hint="eastAsia" w:ascii="Times New Roman" w:hAnsi="Times New Roman"/>
                <w:sz w:val="22"/>
                <w:szCs w:val="21"/>
              </w:rPr>
              <w:t>专职</w:t>
            </w:r>
          </w:p>
        </w:tc>
      </w:tr>
    </w:tbl>
    <w:p>
      <w:pPr>
        <w:spacing w:after="156" w:afterLines="50" w:line="580" w:lineRule="exact"/>
        <w:jc w:val="center"/>
        <w:rPr>
          <w:rFonts w:ascii="Times New Roman" w:hAnsi="黑体" w:eastAsia="黑体"/>
          <w:sz w:val="32"/>
          <w:szCs w:val="32"/>
        </w:rPr>
      </w:pPr>
    </w:p>
    <w:p>
      <w:pPr>
        <w:widowControl/>
        <w:jc w:val="left"/>
        <w:rPr>
          <w:rFonts w:ascii="Times New Roman" w:hAnsi="黑体" w:eastAsia="黑体"/>
          <w:sz w:val="32"/>
          <w:szCs w:val="32"/>
        </w:rPr>
      </w:pPr>
      <w:r>
        <w:rPr>
          <w:rFonts w:ascii="Times New Roman" w:hAnsi="黑体" w:eastAsia="黑体"/>
          <w:sz w:val="32"/>
          <w:szCs w:val="32"/>
        </w:rPr>
        <w:br w:type="page"/>
      </w:r>
    </w:p>
    <w:p>
      <w:pPr>
        <w:spacing w:after="156" w:afterLines="50" w:line="580" w:lineRule="exact"/>
        <w:jc w:val="center"/>
        <w:rPr>
          <w:rFonts w:ascii="Times New Roman" w:hAnsi="Times New Roman" w:eastAsia="黑体"/>
          <w:sz w:val="32"/>
          <w:szCs w:val="32"/>
        </w:rPr>
      </w:pPr>
      <w:r>
        <w:rPr>
          <w:rFonts w:ascii="Times New Roman" w:hAnsi="黑体" w:eastAsia="黑体"/>
          <w:sz w:val="32"/>
          <w:szCs w:val="32"/>
        </w:rPr>
        <w:t>增设专业计划开设的主要课程</w:t>
      </w:r>
    </w:p>
    <w:tbl>
      <w:tblPr>
        <w:tblStyle w:val="9"/>
        <w:tblW w:w="51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83"/>
        <w:gridCol w:w="3004"/>
        <w:gridCol w:w="1089"/>
        <w:gridCol w:w="1127"/>
        <w:gridCol w:w="1982"/>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4" w:hRule="atLeas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序号</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课程名称</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课程</w:t>
            </w:r>
          </w:p>
          <w:p>
            <w:pPr>
              <w:spacing w:line="320" w:lineRule="exact"/>
              <w:jc w:val="center"/>
              <w:rPr>
                <w:rFonts w:ascii="Times New Roman" w:hAnsi="Times New Roman"/>
                <w:sz w:val="24"/>
                <w:szCs w:val="24"/>
              </w:rPr>
            </w:pPr>
            <w:r>
              <w:rPr>
                <w:rFonts w:ascii="Times New Roman"/>
                <w:sz w:val="24"/>
                <w:szCs w:val="24"/>
              </w:rPr>
              <w:t>总学时</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课程</w:t>
            </w:r>
          </w:p>
          <w:p>
            <w:pPr>
              <w:spacing w:line="320" w:lineRule="exact"/>
              <w:jc w:val="center"/>
              <w:rPr>
                <w:rFonts w:ascii="Times New Roman" w:hAnsi="Times New Roman"/>
                <w:sz w:val="24"/>
                <w:szCs w:val="24"/>
              </w:rPr>
            </w:pPr>
            <w:r>
              <w:rPr>
                <w:rFonts w:ascii="Times New Roman"/>
                <w:sz w:val="24"/>
                <w:szCs w:val="24"/>
              </w:rPr>
              <w:t>周学时</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授课教师</w:t>
            </w:r>
          </w:p>
        </w:tc>
        <w:tc>
          <w:tcPr>
            <w:tcW w:w="109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sz w:val="24"/>
                <w:szCs w:val="24"/>
              </w:rPr>
              <w:t>授课</w:t>
            </w:r>
          </w:p>
          <w:p>
            <w:pPr>
              <w:spacing w:line="320" w:lineRule="exact"/>
              <w:jc w:val="center"/>
              <w:rPr>
                <w:rFonts w:ascii="Times New Roman" w:hAnsi="Times New Roman"/>
                <w:sz w:val="24"/>
                <w:szCs w:val="24"/>
              </w:rPr>
            </w:pPr>
            <w:r>
              <w:rPr>
                <w:rFonts w:ascii="Times New Roman"/>
                <w:sz w:val="24"/>
                <w:szCs w:val="24"/>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管理学原理</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36</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2</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陈碧华</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2</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体育管理学</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36</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2</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林志军</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3</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体育市场营销</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曾伟</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4</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体育产业概论</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36</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2</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白晋湘</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5</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市场调查与预测</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36</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2</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陈捷</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6</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运动休闲会所运营管理</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王可</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7</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体育场馆经营与管理</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宋彩珍</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8</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体育赛事组织与管理</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杨世勇</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4"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9</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体育活动项目策划与运营管理</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72</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4</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向勇</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10</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体育经纪</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蒋相和</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11</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人力资源与薪酬管理</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郭贤锋</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12</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体育行业服务与沟通技巧</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ascii="Times New Roman" w:hAnsiTheme="minorEastAsia" w:eastAsiaTheme="minorEastAsia"/>
                <w:sz w:val="22"/>
                <w:szCs w:val="24"/>
              </w:rPr>
              <w:t>轩永昌</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13</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人际心理学</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36</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2</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张斯</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14</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营销心理学</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邱颖俊</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15</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休闲体育</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胡煜</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exact"/>
          <w:jc w:val="center"/>
        </w:trPr>
        <w:tc>
          <w:tcPr>
            <w:tcW w:w="483"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ascii="Times New Roman" w:hAnsi="Times New Roman"/>
                <w:sz w:val="24"/>
                <w:szCs w:val="24"/>
              </w:rPr>
              <w:t>16</w:t>
            </w:r>
          </w:p>
        </w:tc>
        <w:tc>
          <w:tcPr>
            <w:tcW w:w="3004"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健康教育学</w:t>
            </w:r>
          </w:p>
        </w:tc>
        <w:tc>
          <w:tcPr>
            <w:tcW w:w="108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54</w:t>
            </w:r>
          </w:p>
        </w:tc>
        <w:tc>
          <w:tcPr>
            <w:tcW w:w="112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imes New Roman" w:hAnsi="Times New Roman"/>
                <w:sz w:val="24"/>
                <w:szCs w:val="24"/>
              </w:rPr>
            </w:pPr>
            <w:r>
              <w:rPr>
                <w:rFonts w:hint="eastAsia" w:ascii="Times New Roman" w:hAnsi="Times New Roman"/>
                <w:sz w:val="24"/>
                <w:szCs w:val="24"/>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spacing w:line="340" w:lineRule="exact"/>
              <w:jc w:val="center"/>
              <w:rPr>
                <w:rFonts w:ascii="Times New Roman" w:hAnsiTheme="minorEastAsia" w:eastAsiaTheme="minorEastAsia"/>
                <w:sz w:val="22"/>
                <w:szCs w:val="24"/>
              </w:rPr>
            </w:pPr>
            <w:r>
              <w:rPr>
                <w:rFonts w:hint="eastAsia" w:ascii="Times New Roman" w:hAnsiTheme="minorEastAsia" w:eastAsiaTheme="minorEastAsia"/>
                <w:sz w:val="22"/>
                <w:szCs w:val="24"/>
              </w:rPr>
              <w:t>龙游</w:t>
            </w:r>
          </w:p>
        </w:tc>
        <w:tc>
          <w:tcPr>
            <w:tcW w:w="1099" w:type="dxa"/>
            <w:tcBorders>
              <w:top w:val="single" w:color="000000" w:sz="4" w:space="0"/>
              <w:left w:val="single" w:color="000000" w:sz="4" w:space="0"/>
              <w:bottom w:val="single" w:color="000000" w:sz="4" w:space="0"/>
              <w:right w:val="single" w:color="000000" w:sz="4" w:space="0"/>
            </w:tcBorders>
          </w:tcPr>
          <w:p>
            <w:pPr>
              <w:spacing w:line="320" w:lineRule="exact"/>
              <w:jc w:val="center"/>
              <w:rPr>
                <w:rFonts w:ascii="Times New Roman" w:hAnsi="Times New Roman"/>
                <w:sz w:val="24"/>
                <w:szCs w:val="24"/>
              </w:rPr>
            </w:pPr>
            <w:r>
              <w:rPr>
                <w:rFonts w:hint="eastAsia" w:ascii="Times New Roman" w:hAnsi="Times New Roman"/>
                <w:sz w:val="24"/>
                <w:szCs w:val="24"/>
              </w:rPr>
              <w:t>3</w:t>
            </w:r>
          </w:p>
        </w:tc>
      </w:tr>
    </w:tbl>
    <w:p>
      <w:pPr>
        <w:spacing w:line="580" w:lineRule="exact"/>
        <w:rPr>
          <w:rFonts w:ascii="Times New Roman" w:hAnsi="Times New Roman"/>
          <w:szCs w:val="24"/>
        </w:rPr>
      </w:pPr>
    </w:p>
    <w:p>
      <w:pPr>
        <w:widowControl/>
        <w:jc w:val="left"/>
        <w:rPr>
          <w:rFonts w:ascii="Times New Roman" w:hAnsi="黑体" w:eastAsia="黑体"/>
          <w:bCs/>
          <w:sz w:val="32"/>
          <w:szCs w:val="32"/>
        </w:rPr>
      </w:pPr>
      <w:r>
        <w:rPr>
          <w:rFonts w:ascii="Times New Roman" w:hAnsi="黑体" w:eastAsia="黑体"/>
          <w:bCs/>
          <w:sz w:val="32"/>
          <w:szCs w:val="32"/>
        </w:rPr>
        <w:br w:type="page"/>
      </w:r>
    </w:p>
    <w:p>
      <w:pPr>
        <w:spacing w:after="156" w:afterLines="50" w:line="580" w:lineRule="exact"/>
        <w:jc w:val="center"/>
        <w:rPr>
          <w:rFonts w:ascii="Times New Roman" w:hAnsi="Times New Roman" w:eastAsia="黑体"/>
          <w:bCs/>
          <w:sz w:val="32"/>
          <w:szCs w:val="32"/>
        </w:rPr>
      </w:pPr>
      <w:r>
        <w:rPr>
          <w:rFonts w:ascii="Times New Roman" w:hAnsi="黑体" w:eastAsia="黑体"/>
          <w:bCs/>
          <w:sz w:val="32"/>
          <w:szCs w:val="32"/>
        </w:rPr>
        <w:t>增设专业基本办学条件</w:t>
      </w:r>
    </w:p>
    <w:tbl>
      <w:tblPr>
        <w:tblStyle w:val="9"/>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571"/>
        <w:gridCol w:w="897"/>
        <w:gridCol w:w="894"/>
        <w:gridCol w:w="1614"/>
        <w:gridCol w:w="378"/>
        <w:gridCol w:w="25"/>
        <w:gridCol w:w="496"/>
        <w:gridCol w:w="1045"/>
        <w:gridCol w:w="33"/>
        <w:gridCol w:w="662"/>
        <w:gridCol w:w="33"/>
        <w:gridCol w:w="543"/>
        <w:gridCol w:w="651"/>
        <w:gridCol w:w="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专业名称</w:t>
            </w:r>
          </w:p>
        </w:tc>
        <w:tc>
          <w:tcPr>
            <w:tcW w:w="4304" w:type="dxa"/>
            <w:gridSpan w:val="6"/>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r>
              <w:rPr>
                <w:rFonts w:hint="eastAsia" w:ascii="Times New Roman" w:hAnsi="Times New Roman"/>
                <w:szCs w:val="24"/>
              </w:rPr>
              <w:t>体育运营与管理</w:t>
            </w:r>
          </w:p>
        </w:tc>
        <w:tc>
          <w:tcPr>
            <w:tcW w:w="1078"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r>
              <w:rPr>
                <w:rFonts w:ascii="Times New Roman"/>
                <w:szCs w:val="24"/>
              </w:rPr>
              <w:t>开办经费</w:t>
            </w:r>
          </w:p>
        </w:tc>
        <w:tc>
          <w:tcPr>
            <w:tcW w:w="2413"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r>
              <w:rPr>
                <w:rFonts w:hint="eastAsia" w:ascii="Times New Roman" w:hAnsi="Times New Roman"/>
                <w:szCs w:val="24"/>
              </w:rPr>
              <w:t>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szCs w:val="24"/>
              </w:rPr>
            </w:pPr>
            <w:r>
              <w:rPr>
                <w:rFonts w:ascii="Times New Roman"/>
                <w:szCs w:val="24"/>
              </w:rPr>
              <w:t>申报专业副高及以上职称（在岗）人数</w:t>
            </w:r>
          </w:p>
        </w:tc>
        <w:tc>
          <w:tcPr>
            <w:tcW w:w="894"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180</w:t>
            </w:r>
          </w:p>
        </w:tc>
        <w:tc>
          <w:tcPr>
            <w:tcW w:w="16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其中该专业</w:t>
            </w:r>
          </w:p>
          <w:p>
            <w:pPr>
              <w:spacing w:line="320" w:lineRule="exact"/>
              <w:jc w:val="center"/>
              <w:rPr>
                <w:rFonts w:ascii="Times New Roman" w:hAnsi="Times New Roman"/>
                <w:szCs w:val="24"/>
              </w:rPr>
            </w:pPr>
            <w:r>
              <w:rPr>
                <w:rFonts w:ascii="Times New Roman"/>
                <w:szCs w:val="24"/>
              </w:rPr>
              <w:t>专职在岗人数</w:t>
            </w:r>
          </w:p>
        </w:tc>
        <w:tc>
          <w:tcPr>
            <w:tcW w:w="89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hint="eastAsia" w:ascii="Times New Roman" w:hAnsi="Times New Roman"/>
                <w:szCs w:val="24"/>
              </w:rPr>
              <w:t>160</w:t>
            </w:r>
          </w:p>
        </w:tc>
        <w:tc>
          <w:tcPr>
            <w:tcW w:w="1078"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其中校内</w:t>
            </w:r>
          </w:p>
          <w:p>
            <w:pPr>
              <w:spacing w:line="320" w:lineRule="exact"/>
              <w:jc w:val="center"/>
              <w:rPr>
                <w:rFonts w:ascii="Times New Roman" w:hAnsi="Times New Roman"/>
                <w:szCs w:val="24"/>
              </w:rPr>
            </w:pPr>
            <w:r>
              <w:rPr>
                <w:rFonts w:ascii="Times New Roman"/>
                <w:szCs w:val="24"/>
              </w:rPr>
              <w:t>兼职人数</w:t>
            </w:r>
          </w:p>
        </w:tc>
        <w:tc>
          <w:tcPr>
            <w:tcW w:w="69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hint="eastAsia" w:ascii="Times New Roman" w:hAnsi="Times New Roman"/>
                <w:szCs w:val="24"/>
              </w:rPr>
              <w:t>160</w:t>
            </w:r>
          </w:p>
        </w:tc>
        <w:tc>
          <w:tcPr>
            <w:tcW w:w="119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其中校外兼职人数</w:t>
            </w:r>
          </w:p>
        </w:tc>
        <w:tc>
          <w:tcPr>
            <w:tcW w:w="524"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1"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可用于新专业的</w:t>
            </w:r>
          </w:p>
          <w:p>
            <w:pPr>
              <w:spacing w:line="320" w:lineRule="exact"/>
              <w:jc w:val="center"/>
              <w:rPr>
                <w:rFonts w:ascii="Times New Roman" w:hAnsi="Times New Roman"/>
                <w:szCs w:val="24"/>
              </w:rPr>
            </w:pPr>
            <w:r>
              <w:rPr>
                <w:rFonts w:ascii="Times New Roman"/>
                <w:szCs w:val="24"/>
              </w:rPr>
              <w:t>教学图书（万册）</w:t>
            </w:r>
          </w:p>
        </w:tc>
        <w:tc>
          <w:tcPr>
            <w:tcW w:w="894" w:type="dxa"/>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szCs w:val="24"/>
              </w:rPr>
            </w:pPr>
            <w:r>
              <w:rPr>
                <w:rFonts w:hint="eastAsia" w:ascii="Times New Roman" w:hAnsi="Times New Roman"/>
                <w:szCs w:val="24"/>
              </w:rPr>
              <w:t>20.1</w:t>
            </w:r>
          </w:p>
        </w:tc>
        <w:tc>
          <w:tcPr>
            <w:tcW w:w="2017"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可用于该专业的</w:t>
            </w:r>
          </w:p>
          <w:p>
            <w:pPr>
              <w:spacing w:line="320" w:lineRule="exact"/>
              <w:jc w:val="center"/>
              <w:rPr>
                <w:rFonts w:ascii="Times New Roman" w:hAnsi="Times New Roman"/>
                <w:szCs w:val="24"/>
              </w:rPr>
            </w:pPr>
            <w:r>
              <w:rPr>
                <w:rFonts w:ascii="Times New Roman"/>
                <w:szCs w:val="24"/>
              </w:rPr>
              <w:t>教学实验设备</w:t>
            </w:r>
          </w:p>
          <w:p>
            <w:pPr>
              <w:spacing w:line="320" w:lineRule="exact"/>
              <w:jc w:val="center"/>
              <w:rPr>
                <w:rFonts w:ascii="Times New Roman" w:hAnsi="Times New Roman"/>
                <w:szCs w:val="24"/>
              </w:rPr>
            </w:pPr>
            <w:r>
              <w:rPr>
                <w:rFonts w:ascii="Times New Roman"/>
                <w:szCs w:val="24"/>
              </w:rPr>
              <w:t>（千元以上）</w:t>
            </w:r>
          </w:p>
        </w:tc>
        <w:tc>
          <w:tcPr>
            <w:tcW w:w="1574"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sz w:val="18"/>
                <w:szCs w:val="24"/>
              </w:rPr>
            </w:pPr>
            <w:r>
              <w:rPr>
                <w:rFonts w:hint="eastAsia" w:ascii="Times New Roman"/>
                <w:sz w:val="18"/>
                <w:szCs w:val="24"/>
              </w:rPr>
              <w:t>55</w:t>
            </w:r>
            <w:r>
              <w:rPr>
                <w:rFonts w:ascii="Times New Roman"/>
                <w:sz w:val="18"/>
                <w:szCs w:val="24"/>
              </w:rPr>
              <w:t>（台</w:t>
            </w:r>
            <w:r>
              <w:rPr>
                <w:rFonts w:ascii="Times New Roman" w:hAnsi="Times New Roman"/>
                <w:sz w:val="18"/>
                <w:szCs w:val="24"/>
              </w:rPr>
              <w:t>/</w:t>
            </w:r>
            <w:r>
              <w:rPr>
                <w:rFonts w:ascii="Times New Roman"/>
                <w:sz w:val="18"/>
                <w:szCs w:val="24"/>
              </w:rPr>
              <w:t>件）</w:t>
            </w:r>
          </w:p>
        </w:tc>
        <w:tc>
          <w:tcPr>
            <w:tcW w:w="1238" w:type="dxa"/>
            <w:gridSpan w:val="3"/>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总价值</w:t>
            </w:r>
          </w:p>
          <w:p>
            <w:pPr>
              <w:spacing w:line="320" w:lineRule="exact"/>
              <w:jc w:val="center"/>
              <w:rPr>
                <w:rFonts w:ascii="Times New Roman" w:hAnsi="Times New Roman"/>
                <w:szCs w:val="24"/>
              </w:rPr>
            </w:pPr>
            <w:r>
              <w:rPr>
                <w:rFonts w:ascii="Times New Roman"/>
                <w:szCs w:val="24"/>
              </w:rPr>
              <w:t>（万元）</w:t>
            </w:r>
          </w:p>
        </w:tc>
        <w:tc>
          <w:tcPr>
            <w:tcW w:w="1175" w:type="dxa"/>
            <w:gridSpan w:val="2"/>
            <w:tcBorders>
              <w:top w:val="single" w:color="auto" w:sz="4" w:space="0"/>
              <w:left w:val="single" w:color="auto" w:sz="4" w:space="0"/>
              <w:bottom w:val="double" w:color="auto" w:sz="4" w:space="0"/>
              <w:right w:val="single" w:color="auto" w:sz="4" w:space="0"/>
            </w:tcBorders>
            <w:vAlign w:val="center"/>
          </w:tcPr>
          <w:p>
            <w:pPr>
              <w:spacing w:line="320" w:lineRule="exact"/>
              <w:jc w:val="center"/>
              <w:rPr>
                <w:rFonts w:ascii="Times New Roman" w:hAnsi="Times New Roman"/>
                <w:szCs w:val="24"/>
              </w:rPr>
            </w:pPr>
            <w:r>
              <w:rPr>
                <w:rFonts w:hint="eastAsia" w:ascii="Times New Roman" w:hAnsi="Times New Roman"/>
                <w:szCs w:val="24"/>
              </w:rPr>
              <w:t>100万（不含场馆基础设施）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3" w:type="dxa"/>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序</w:t>
            </w:r>
          </w:p>
          <w:p>
            <w:pPr>
              <w:spacing w:line="320" w:lineRule="exact"/>
              <w:jc w:val="center"/>
              <w:rPr>
                <w:rFonts w:ascii="Times New Roman" w:hAnsi="Times New Roman"/>
                <w:szCs w:val="24"/>
              </w:rPr>
            </w:pPr>
            <w:r>
              <w:rPr>
                <w:rFonts w:ascii="Times New Roman"/>
                <w:szCs w:val="24"/>
              </w:rPr>
              <w:t>号</w:t>
            </w:r>
          </w:p>
        </w:tc>
        <w:tc>
          <w:tcPr>
            <w:tcW w:w="4379" w:type="dxa"/>
            <w:gridSpan w:val="6"/>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主要教学设备名称（限</w:t>
            </w:r>
            <w:r>
              <w:rPr>
                <w:rFonts w:ascii="Times New Roman" w:hAnsi="Times New Roman"/>
                <w:szCs w:val="24"/>
              </w:rPr>
              <w:t>20</w:t>
            </w:r>
            <w:r>
              <w:rPr>
                <w:rFonts w:ascii="Times New Roman"/>
                <w:szCs w:val="24"/>
              </w:rPr>
              <w:t>项）</w:t>
            </w:r>
          </w:p>
        </w:tc>
        <w:tc>
          <w:tcPr>
            <w:tcW w:w="1574" w:type="dxa"/>
            <w:gridSpan w:val="3"/>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型号</w:t>
            </w:r>
          </w:p>
          <w:p>
            <w:pPr>
              <w:spacing w:line="320" w:lineRule="exact"/>
              <w:jc w:val="center"/>
              <w:rPr>
                <w:rFonts w:ascii="Times New Roman" w:hAnsi="Times New Roman"/>
                <w:szCs w:val="24"/>
              </w:rPr>
            </w:pPr>
            <w:r>
              <w:rPr>
                <w:rFonts w:ascii="Times New Roman"/>
                <w:szCs w:val="24"/>
              </w:rPr>
              <w:t>规格</w:t>
            </w:r>
          </w:p>
        </w:tc>
        <w:tc>
          <w:tcPr>
            <w:tcW w:w="695" w:type="dxa"/>
            <w:gridSpan w:val="2"/>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 w:val="18"/>
                <w:szCs w:val="24"/>
              </w:rPr>
            </w:pPr>
            <w:r>
              <w:rPr>
                <w:rFonts w:ascii="Times New Roman"/>
                <w:sz w:val="18"/>
                <w:szCs w:val="24"/>
              </w:rPr>
              <w:t>台</w:t>
            </w:r>
            <w:r>
              <w:rPr>
                <w:rFonts w:ascii="Times New Roman" w:hAnsi="Times New Roman"/>
                <w:sz w:val="18"/>
                <w:szCs w:val="24"/>
              </w:rPr>
              <w:t>(</w:t>
            </w:r>
            <w:r>
              <w:rPr>
                <w:rFonts w:ascii="Times New Roman"/>
                <w:sz w:val="18"/>
                <w:szCs w:val="24"/>
              </w:rPr>
              <w:t>件</w:t>
            </w:r>
            <w:r>
              <w:rPr>
                <w:rFonts w:ascii="Times New Roman" w:hAnsi="Times New Roman"/>
                <w:sz w:val="18"/>
                <w:szCs w:val="24"/>
              </w:rPr>
              <w:t>)</w:t>
            </w:r>
          </w:p>
        </w:tc>
        <w:tc>
          <w:tcPr>
            <w:tcW w:w="1718" w:type="dxa"/>
            <w:gridSpan w:val="3"/>
            <w:tcBorders>
              <w:top w:val="doub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4"/>
              </w:rPr>
            </w:pPr>
            <w:r>
              <w:rPr>
                <w:rFonts w:ascii="Times New Roman"/>
                <w:szCs w:val="24"/>
              </w:rPr>
              <w:t>购入时间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电子显示屏</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2.55</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46</w:t>
            </w:r>
            <w:r>
              <w:rPr>
                <w:rFonts w:hint="eastAsia" w:ascii="Times New Roman" w:hAnsi="Times New Roman"/>
                <w:szCs w:val="24"/>
              </w:rPr>
              <w:t>块</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2015</w:t>
            </w:r>
            <w:r>
              <w:rPr>
                <w:rFonts w:hint="eastAsia" w:ascii="Times New Roman" w:hAnsi="Times New Roman"/>
                <w:szCs w:val="24"/>
              </w:rPr>
              <w:t>年-—</w:t>
            </w:r>
            <w:r>
              <w:rPr>
                <w:rFonts w:ascii="Times New Roman" w:hAnsi="Times New Roman"/>
                <w:szCs w:val="24"/>
              </w:rPr>
              <w:t>2018</w:t>
            </w:r>
            <w:r>
              <w:rPr>
                <w:rFonts w:hint="eastAsia" w:ascii="Times New Roman" w:hAnsi="Times New Roman"/>
                <w:szCs w:val="24"/>
              </w:rPr>
              <w:t>年年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智慧教室</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5</w:t>
            </w:r>
            <w:r>
              <w:rPr>
                <w:rFonts w:ascii="Times New Roman" w:hAnsi="Times New Roman"/>
                <w:szCs w:val="24"/>
              </w:rPr>
              <w:t>3</w:t>
            </w:r>
            <w:r>
              <w:rPr>
                <w:rFonts w:hint="eastAsia" w:ascii="Times New Roman" w:hAnsi="Times New Roman"/>
                <w:szCs w:val="24"/>
              </w:rPr>
              <w:t>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3</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VR</w:t>
            </w:r>
            <w:r>
              <w:rPr>
                <w:rFonts w:hint="eastAsia" w:ascii="Times New Roman" w:hAnsi="Times New Roman"/>
                <w:szCs w:val="24"/>
              </w:rPr>
              <w:t>教室</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w:t>
            </w:r>
            <w:r>
              <w:rPr>
                <w:rFonts w:hint="eastAsia" w:ascii="Times New Roman" w:hAnsi="Times New Roman"/>
                <w:szCs w:val="24"/>
              </w:rPr>
              <w:t>0间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4</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羽毛球场及配套器材设备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12个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2015</w:t>
            </w:r>
            <w:r>
              <w:rPr>
                <w:rFonts w:hint="eastAsia" w:ascii="Times New Roman" w:hAnsi="Times New Roman"/>
                <w:szCs w:val="24"/>
              </w:rPr>
              <w:t>年-2016年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5</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田径场及配套器材设备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400</w:t>
            </w:r>
            <w:r>
              <w:rPr>
                <w:rFonts w:hint="eastAsia" w:ascii="Times New Roman" w:hAnsi="Times New Roman"/>
                <w:szCs w:val="24"/>
              </w:rPr>
              <w:t>米标准跑道</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2004年-</w:t>
            </w: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6</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足球场及配套器材设备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2004年</w:t>
            </w: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7</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网球场及配套器材设备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w:t>
            </w:r>
            <w:r>
              <w:rPr>
                <w:rFonts w:hint="eastAsia" w:ascii="Times New Roman" w:hAnsi="Times New Roman"/>
                <w:szCs w:val="24"/>
              </w:rPr>
              <w:t>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8</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室内健身房及配套器材设备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120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4间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年-2017年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9</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形体房及配套器材设备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90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4间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10</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学生体质测试房及配套器材设备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90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w:t>
            </w:r>
            <w:r>
              <w:rPr>
                <w:rFonts w:hint="eastAsia" w:ascii="Times New Roman" w:hAnsi="Times New Roman"/>
                <w:szCs w:val="24"/>
              </w:rPr>
              <w:t>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11</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武术场地及配套器材设备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120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4</w:t>
            </w:r>
            <w:r>
              <w:rPr>
                <w:rFonts w:hint="eastAsia" w:ascii="Times New Roman" w:hAnsi="Times New Roman"/>
                <w:szCs w:val="24"/>
              </w:rPr>
              <w:t>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2019</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12</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体操练习小场地及配套器材设备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80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8个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2015年-</w:t>
            </w:r>
            <w:r>
              <w:rPr>
                <w:rFonts w:ascii="Times New Roman" w:hAnsi="Times New Roman"/>
                <w:szCs w:val="24"/>
              </w:rPr>
              <w:t>2016</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13</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跆拳道场地及配套器材设备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120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4</w:t>
            </w:r>
            <w:r>
              <w:rPr>
                <w:rFonts w:hint="eastAsia" w:ascii="Times New Roman" w:hAnsi="Times New Roman"/>
                <w:szCs w:val="24"/>
              </w:rPr>
              <w:t>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2016</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14</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室外篮球场及配套器材设备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6</w:t>
            </w:r>
            <w:r>
              <w:rPr>
                <w:rFonts w:hint="eastAsia" w:ascii="Times New Roman" w:hAnsi="Times New Roman"/>
                <w:szCs w:val="24"/>
              </w:rPr>
              <w:t>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15</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室内篮球球场及配套器材设备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9个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16</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室内排球场及配套器材设备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5个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17</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室内乒乓球房及配套器材设备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4间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2016</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18</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体育理论教室及配套器材设备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32</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10</w:t>
            </w:r>
            <w:r>
              <w:rPr>
                <w:rFonts w:hint="eastAsia" w:ascii="Times New Roman" w:hAnsi="Times New Roman"/>
                <w:szCs w:val="24"/>
              </w:rPr>
              <w:t>间</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2010</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19</w:t>
            </w:r>
          </w:p>
        </w:tc>
        <w:tc>
          <w:tcPr>
            <w:tcW w:w="4354" w:type="dxa"/>
            <w:gridSpan w:val="5"/>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体育图书阅览室及配套器材设备</w:t>
            </w:r>
          </w:p>
        </w:tc>
        <w:tc>
          <w:tcPr>
            <w:tcW w:w="1566"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120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w:t>
            </w:r>
            <w:r>
              <w:rPr>
                <w:rFonts w:hint="eastAsia" w:ascii="Times New Roman" w:hAnsi="Times New Roman"/>
                <w:szCs w:val="24"/>
              </w:rPr>
              <w:t>个</w:t>
            </w:r>
          </w:p>
        </w:tc>
        <w:tc>
          <w:tcPr>
            <w:tcW w:w="1751" w:type="dxa"/>
            <w:gridSpan w:val="4"/>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2008</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20</w:t>
            </w:r>
          </w:p>
        </w:tc>
        <w:tc>
          <w:tcPr>
            <w:tcW w:w="4379" w:type="dxa"/>
            <w:gridSpan w:val="6"/>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多功能体育艺术馆及配套器材设备</w:t>
            </w:r>
          </w:p>
        </w:tc>
        <w:tc>
          <w:tcPr>
            <w:tcW w:w="1574"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1200</w:t>
            </w:r>
            <w:r>
              <w:rPr>
                <w:rFonts w:hint="eastAsia" w:ascii="Times New Roman" w:hAnsi="Times New Roman"/>
                <w:szCs w:val="24"/>
              </w:rPr>
              <w:t>平方米</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w:t>
            </w:r>
            <w:r>
              <w:rPr>
                <w:rFonts w:hint="eastAsia" w:ascii="Times New Roman" w:hAnsi="Times New Roman"/>
                <w:szCs w:val="24"/>
              </w:rPr>
              <w:t>座</w:t>
            </w:r>
          </w:p>
        </w:tc>
        <w:tc>
          <w:tcPr>
            <w:tcW w:w="1718"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2004</w:t>
            </w:r>
            <w:r>
              <w:rPr>
                <w:rFonts w:hint="eastAsia" w:ascii="Times New Roman" w:hAnsi="Times New Roman"/>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13" w:type="dxa"/>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szCs w:val="24"/>
              </w:rPr>
            </w:pPr>
            <w:r>
              <w:rPr>
                <w:rFonts w:hint="eastAsia" w:ascii="Times New Roman" w:hAnsi="Times New Roman"/>
                <w:szCs w:val="24"/>
              </w:rPr>
              <w:t>21</w:t>
            </w:r>
          </w:p>
        </w:tc>
        <w:tc>
          <w:tcPr>
            <w:tcW w:w="4379" w:type="dxa"/>
            <w:gridSpan w:val="6"/>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大型比赛体育竞赛管理系统及配套器材设备</w:t>
            </w:r>
          </w:p>
        </w:tc>
        <w:tc>
          <w:tcPr>
            <w:tcW w:w="1574"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hint="eastAsia" w:ascii="Times New Roman" w:hAnsi="Times New Roman"/>
                <w:szCs w:val="24"/>
              </w:rPr>
              <w:t>标准</w:t>
            </w:r>
          </w:p>
        </w:tc>
        <w:tc>
          <w:tcPr>
            <w:tcW w:w="695"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1</w:t>
            </w:r>
            <w:r>
              <w:rPr>
                <w:rFonts w:hint="eastAsia" w:ascii="Times New Roman" w:hAnsi="Times New Roman"/>
                <w:szCs w:val="24"/>
              </w:rPr>
              <w:t>套</w:t>
            </w:r>
          </w:p>
        </w:tc>
        <w:tc>
          <w:tcPr>
            <w:tcW w:w="1718"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Times New Roman" w:hAnsi="Times New Roman"/>
                <w:szCs w:val="24"/>
              </w:rPr>
            </w:pPr>
            <w:r>
              <w:rPr>
                <w:rFonts w:ascii="Times New Roman" w:hAnsi="Times New Roman"/>
                <w:szCs w:val="24"/>
              </w:rPr>
              <w:t>2019</w:t>
            </w:r>
            <w:r>
              <w:rPr>
                <w:rFonts w:hint="eastAsia" w:ascii="Times New Roman" w:hAnsi="Times New Roman"/>
                <w:szCs w:val="24"/>
              </w:rPr>
              <w:t>年</w:t>
            </w:r>
          </w:p>
        </w:tc>
      </w:tr>
    </w:tbl>
    <w:p>
      <w:pPr>
        <w:spacing w:line="580" w:lineRule="exact"/>
        <w:rPr>
          <w:rFonts w:ascii="Times New Roman" w:hAnsi="Times New Roman" w:eastAsia="黑体"/>
          <w:bCs/>
          <w:sz w:val="32"/>
          <w:szCs w:val="32"/>
        </w:rPr>
      </w:pPr>
    </w:p>
    <w:sectPr>
      <w:footerReference r:id="rId5"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面包树上" w:date="2020-03-04T09:48:54Z" w:initials="">
    <w:p w14:paraId="57C87374">
      <w:pPr>
        <w:pStyle w:val="3"/>
        <w:rPr>
          <w:rFonts w:hint="eastAsia" w:eastAsia="宋体"/>
          <w:lang w:eastAsia="zh-CN"/>
        </w:rPr>
      </w:pPr>
      <w:r>
        <w:rPr>
          <w:rFonts w:hint="eastAsia"/>
          <w:lang w:eastAsia="zh-CN"/>
        </w:rPr>
        <w:t>请加入专业负责人信息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C8737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72394"/>
      <w:docPartObj>
        <w:docPartGallery w:val="autotext"/>
      </w:docPartObj>
    </w:sdtPr>
    <w:sdtContent>
      <w:p>
        <w:pPr>
          <w:pStyle w:val="6"/>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71FD"/>
    <w:multiLevelType w:val="multilevel"/>
    <w:tmpl w:val="0A1B71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面包树上">
    <w15:presenceInfo w15:providerId="WPS Office" w15:userId="1950147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10243"/>
    <w:rsid w:val="00010FFA"/>
    <w:rsid w:val="00011289"/>
    <w:rsid w:val="00011695"/>
    <w:rsid w:val="00015818"/>
    <w:rsid w:val="00015CBA"/>
    <w:rsid w:val="00015DBD"/>
    <w:rsid w:val="0002038F"/>
    <w:rsid w:val="00022CD1"/>
    <w:rsid w:val="00031E28"/>
    <w:rsid w:val="000339FB"/>
    <w:rsid w:val="00034335"/>
    <w:rsid w:val="000352BB"/>
    <w:rsid w:val="00037E22"/>
    <w:rsid w:val="0005045D"/>
    <w:rsid w:val="000509F4"/>
    <w:rsid w:val="0005712C"/>
    <w:rsid w:val="00061B02"/>
    <w:rsid w:val="0006240E"/>
    <w:rsid w:val="00066635"/>
    <w:rsid w:val="00066F2C"/>
    <w:rsid w:val="00067940"/>
    <w:rsid w:val="000724D6"/>
    <w:rsid w:val="00072EDE"/>
    <w:rsid w:val="0007679D"/>
    <w:rsid w:val="000800E7"/>
    <w:rsid w:val="000810F4"/>
    <w:rsid w:val="00082142"/>
    <w:rsid w:val="00084DA1"/>
    <w:rsid w:val="00084EB7"/>
    <w:rsid w:val="0008730B"/>
    <w:rsid w:val="00091449"/>
    <w:rsid w:val="00093DF0"/>
    <w:rsid w:val="000947C3"/>
    <w:rsid w:val="00094885"/>
    <w:rsid w:val="00096422"/>
    <w:rsid w:val="000A1E20"/>
    <w:rsid w:val="000A5B9F"/>
    <w:rsid w:val="000B1313"/>
    <w:rsid w:val="000B41BF"/>
    <w:rsid w:val="000C1901"/>
    <w:rsid w:val="000C1CC2"/>
    <w:rsid w:val="000C2846"/>
    <w:rsid w:val="000C4BC2"/>
    <w:rsid w:val="000C6E00"/>
    <w:rsid w:val="000D281E"/>
    <w:rsid w:val="000D4190"/>
    <w:rsid w:val="000D4CD2"/>
    <w:rsid w:val="000D4DD3"/>
    <w:rsid w:val="000D60E6"/>
    <w:rsid w:val="000D6AA5"/>
    <w:rsid w:val="000D7144"/>
    <w:rsid w:val="000E0900"/>
    <w:rsid w:val="000E1922"/>
    <w:rsid w:val="000E7C8F"/>
    <w:rsid w:val="000F233C"/>
    <w:rsid w:val="000F3730"/>
    <w:rsid w:val="000F5808"/>
    <w:rsid w:val="000F7F7D"/>
    <w:rsid w:val="001013CC"/>
    <w:rsid w:val="00101407"/>
    <w:rsid w:val="00101502"/>
    <w:rsid w:val="001049CC"/>
    <w:rsid w:val="0010600D"/>
    <w:rsid w:val="0011001A"/>
    <w:rsid w:val="001139EB"/>
    <w:rsid w:val="00114AC1"/>
    <w:rsid w:val="00117298"/>
    <w:rsid w:val="0011752D"/>
    <w:rsid w:val="00120F1C"/>
    <w:rsid w:val="0012242E"/>
    <w:rsid w:val="00122AD9"/>
    <w:rsid w:val="00123234"/>
    <w:rsid w:val="00123D86"/>
    <w:rsid w:val="00124CB4"/>
    <w:rsid w:val="00130848"/>
    <w:rsid w:val="00130AE3"/>
    <w:rsid w:val="00130C5A"/>
    <w:rsid w:val="00132255"/>
    <w:rsid w:val="00133A8A"/>
    <w:rsid w:val="00133AAF"/>
    <w:rsid w:val="00133C94"/>
    <w:rsid w:val="00134DC5"/>
    <w:rsid w:val="00135495"/>
    <w:rsid w:val="001364F2"/>
    <w:rsid w:val="00136CB3"/>
    <w:rsid w:val="001431C8"/>
    <w:rsid w:val="001434C7"/>
    <w:rsid w:val="00143FB4"/>
    <w:rsid w:val="001440E1"/>
    <w:rsid w:val="00144D50"/>
    <w:rsid w:val="00145F67"/>
    <w:rsid w:val="00147228"/>
    <w:rsid w:val="00150F17"/>
    <w:rsid w:val="001537D3"/>
    <w:rsid w:val="0016213E"/>
    <w:rsid w:val="001717B2"/>
    <w:rsid w:val="001741AF"/>
    <w:rsid w:val="001778FA"/>
    <w:rsid w:val="0018372C"/>
    <w:rsid w:val="00185620"/>
    <w:rsid w:val="00185A49"/>
    <w:rsid w:val="00187305"/>
    <w:rsid w:val="00192513"/>
    <w:rsid w:val="00193688"/>
    <w:rsid w:val="00195ED1"/>
    <w:rsid w:val="001A23BC"/>
    <w:rsid w:val="001A6B76"/>
    <w:rsid w:val="001A73F5"/>
    <w:rsid w:val="001A7EEB"/>
    <w:rsid w:val="001B16A3"/>
    <w:rsid w:val="001B529D"/>
    <w:rsid w:val="001C23B0"/>
    <w:rsid w:val="001C46E8"/>
    <w:rsid w:val="001C7733"/>
    <w:rsid w:val="001D23A3"/>
    <w:rsid w:val="001E0E97"/>
    <w:rsid w:val="001E1541"/>
    <w:rsid w:val="001E2DC3"/>
    <w:rsid w:val="001E56A5"/>
    <w:rsid w:val="001E784C"/>
    <w:rsid w:val="001F5EAC"/>
    <w:rsid w:val="001F666B"/>
    <w:rsid w:val="0020166E"/>
    <w:rsid w:val="00201BDD"/>
    <w:rsid w:val="00203068"/>
    <w:rsid w:val="00205DFE"/>
    <w:rsid w:val="00205ED8"/>
    <w:rsid w:val="00207F22"/>
    <w:rsid w:val="002127EF"/>
    <w:rsid w:val="002168E1"/>
    <w:rsid w:val="00216E69"/>
    <w:rsid w:val="00217D2A"/>
    <w:rsid w:val="00220C3B"/>
    <w:rsid w:val="0022180A"/>
    <w:rsid w:val="0022225F"/>
    <w:rsid w:val="002226A2"/>
    <w:rsid w:val="002230BB"/>
    <w:rsid w:val="00225E83"/>
    <w:rsid w:val="002267D5"/>
    <w:rsid w:val="002316BA"/>
    <w:rsid w:val="002320F8"/>
    <w:rsid w:val="00234488"/>
    <w:rsid w:val="0024075D"/>
    <w:rsid w:val="002459AF"/>
    <w:rsid w:val="0024601B"/>
    <w:rsid w:val="00246491"/>
    <w:rsid w:val="0025040F"/>
    <w:rsid w:val="00250F9C"/>
    <w:rsid w:val="002522FD"/>
    <w:rsid w:val="00253C2D"/>
    <w:rsid w:val="002542A2"/>
    <w:rsid w:val="002545F6"/>
    <w:rsid w:val="00262104"/>
    <w:rsid w:val="00267071"/>
    <w:rsid w:val="00270295"/>
    <w:rsid w:val="0027538F"/>
    <w:rsid w:val="0027570D"/>
    <w:rsid w:val="0027764B"/>
    <w:rsid w:val="002825FD"/>
    <w:rsid w:val="002830B2"/>
    <w:rsid w:val="002855D8"/>
    <w:rsid w:val="00286339"/>
    <w:rsid w:val="00286670"/>
    <w:rsid w:val="00286C19"/>
    <w:rsid w:val="002915E0"/>
    <w:rsid w:val="0029503A"/>
    <w:rsid w:val="00297C03"/>
    <w:rsid w:val="002A06CD"/>
    <w:rsid w:val="002A0A88"/>
    <w:rsid w:val="002A2ABC"/>
    <w:rsid w:val="002A2C04"/>
    <w:rsid w:val="002A4613"/>
    <w:rsid w:val="002A661B"/>
    <w:rsid w:val="002B0588"/>
    <w:rsid w:val="002B1F37"/>
    <w:rsid w:val="002B2BB1"/>
    <w:rsid w:val="002B4921"/>
    <w:rsid w:val="002B590C"/>
    <w:rsid w:val="002B6593"/>
    <w:rsid w:val="002B680C"/>
    <w:rsid w:val="002C32EC"/>
    <w:rsid w:val="002C340E"/>
    <w:rsid w:val="002C74D5"/>
    <w:rsid w:val="002C778E"/>
    <w:rsid w:val="002C7B68"/>
    <w:rsid w:val="002C7B87"/>
    <w:rsid w:val="002D172F"/>
    <w:rsid w:val="002D2A3C"/>
    <w:rsid w:val="002D33C5"/>
    <w:rsid w:val="002D3D4F"/>
    <w:rsid w:val="002D5775"/>
    <w:rsid w:val="002E0A63"/>
    <w:rsid w:val="002E3ED7"/>
    <w:rsid w:val="002F05CA"/>
    <w:rsid w:val="002F378E"/>
    <w:rsid w:val="002F41A0"/>
    <w:rsid w:val="002F6C22"/>
    <w:rsid w:val="00300362"/>
    <w:rsid w:val="003078C9"/>
    <w:rsid w:val="00310254"/>
    <w:rsid w:val="00311262"/>
    <w:rsid w:val="00311D30"/>
    <w:rsid w:val="00313754"/>
    <w:rsid w:val="0031546D"/>
    <w:rsid w:val="00315750"/>
    <w:rsid w:val="00320333"/>
    <w:rsid w:val="00325706"/>
    <w:rsid w:val="00325BCB"/>
    <w:rsid w:val="003325E1"/>
    <w:rsid w:val="00333985"/>
    <w:rsid w:val="00334C50"/>
    <w:rsid w:val="00334E82"/>
    <w:rsid w:val="0034080C"/>
    <w:rsid w:val="003426AF"/>
    <w:rsid w:val="00342F1B"/>
    <w:rsid w:val="003432E1"/>
    <w:rsid w:val="00343C54"/>
    <w:rsid w:val="00347A7C"/>
    <w:rsid w:val="003507CF"/>
    <w:rsid w:val="00350F27"/>
    <w:rsid w:val="00351658"/>
    <w:rsid w:val="00355A65"/>
    <w:rsid w:val="00360887"/>
    <w:rsid w:val="00360929"/>
    <w:rsid w:val="00363053"/>
    <w:rsid w:val="003637F4"/>
    <w:rsid w:val="00367A2E"/>
    <w:rsid w:val="003724F6"/>
    <w:rsid w:val="003752AB"/>
    <w:rsid w:val="0037781A"/>
    <w:rsid w:val="003818C5"/>
    <w:rsid w:val="00390F45"/>
    <w:rsid w:val="00391C55"/>
    <w:rsid w:val="00393931"/>
    <w:rsid w:val="003947FA"/>
    <w:rsid w:val="00395DF2"/>
    <w:rsid w:val="003968B2"/>
    <w:rsid w:val="00396F96"/>
    <w:rsid w:val="00397937"/>
    <w:rsid w:val="003A1BA2"/>
    <w:rsid w:val="003A2F31"/>
    <w:rsid w:val="003A667A"/>
    <w:rsid w:val="003A6DED"/>
    <w:rsid w:val="003B0BE8"/>
    <w:rsid w:val="003B1281"/>
    <w:rsid w:val="003B42BE"/>
    <w:rsid w:val="003C2CAB"/>
    <w:rsid w:val="003C4F8F"/>
    <w:rsid w:val="003C77F6"/>
    <w:rsid w:val="003D2A24"/>
    <w:rsid w:val="003D3653"/>
    <w:rsid w:val="003D39AD"/>
    <w:rsid w:val="003D4847"/>
    <w:rsid w:val="003D4C97"/>
    <w:rsid w:val="003E1EFA"/>
    <w:rsid w:val="003E3DD9"/>
    <w:rsid w:val="003E4404"/>
    <w:rsid w:val="003E5E31"/>
    <w:rsid w:val="003E6F42"/>
    <w:rsid w:val="003E706E"/>
    <w:rsid w:val="003E7D7B"/>
    <w:rsid w:val="003F115B"/>
    <w:rsid w:val="003F3EA3"/>
    <w:rsid w:val="003F6BA3"/>
    <w:rsid w:val="00401292"/>
    <w:rsid w:val="00403DD0"/>
    <w:rsid w:val="0041081D"/>
    <w:rsid w:val="0041310F"/>
    <w:rsid w:val="00423355"/>
    <w:rsid w:val="004237C7"/>
    <w:rsid w:val="00423F9A"/>
    <w:rsid w:val="00425AB9"/>
    <w:rsid w:val="00426980"/>
    <w:rsid w:val="00427B89"/>
    <w:rsid w:val="00431F66"/>
    <w:rsid w:val="00433C51"/>
    <w:rsid w:val="00436AA8"/>
    <w:rsid w:val="00440839"/>
    <w:rsid w:val="004416E9"/>
    <w:rsid w:val="0044237B"/>
    <w:rsid w:val="004453A7"/>
    <w:rsid w:val="00447E2A"/>
    <w:rsid w:val="00451AFD"/>
    <w:rsid w:val="00452F52"/>
    <w:rsid w:val="004535CC"/>
    <w:rsid w:val="0045504E"/>
    <w:rsid w:val="00461908"/>
    <w:rsid w:val="00461D3F"/>
    <w:rsid w:val="004659B3"/>
    <w:rsid w:val="0047614D"/>
    <w:rsid w:val="00480E0C"/>
    <w:rsid w:val="00481B21"/>
    <w:rsid w:val="00482EE9"/>
    <w:rsid w:val="00483955"/>
    <w:rsid w:val="00490FD6"/>
    <w:rsid w:val="00493626"/>
    <w:rsid w:val="004950BD"/>
    <w:rsid w:val="00495BE9"/>
    <w:rsid w:val="004A4790"/>
    <w:rsid w:val="004A677A"/>
    <w:rsid w:val="004A7751"/>
    <w:rsid w:val="004B3C2A"/>
    <w:rsid w:val="004B509D"/>
    <w:rsid w:val="004B5509"/>
    <w:rsid w:val="004C3B82"/>
    <w:rsid w:val="004C3D50"/>
    <w:rsid w:val="004C744C"/>
    <w:rsid w:val="004C75B5"/>
    <w:rsid w:val="004D05F2"/>
    <w:rsid w:val="004E1712"/>
    <w:rsid w:val="004E49AE"/>
    <w:rsid w:val="004E5125"/>
    <w:rsid w:val="004E5FAB"/>
    <w:rsid w:val="004F169E"/>
    <w:rsid w:val="004F1C32"/>
    <w:rsid w:val="0050453D"/>
    <w:rsid w:val="005055E6"/>
    <w:rsid w:val="00513FC8"/>
    <w:rsid w:val="00515370"/>
    <w:rsid w:val="005155B9"/>
    <w:rsid w:val="0051572E"/>
    <w:rsid w:val="00517761"/>
    <w:rsid w:val="00517F88"/>
    <w:rsid w:val="00525A38"/>
    <w:rsid w:val="00527431"/>
    <w:rsid w:val="00533E96"/>
    <w:rsid w:val="00536A82"/>
    <w:rsid w:val="00537A0F"/>
    <w:rsid w:val="00550EF1"/>
    <w:rsid w:val="00553070"/>
    <w:rsid w:val="00554CF7"/>
    <w:rsid w:val="00557F36"/>
    <w:rsid w:val="005619D2"/>
    <w:rsid w:val="00563B06"/>
    <w:rsid w:val="00566238"/>
    <w:rsid w:val="00567610"/>
    <w:rsid w:val="00567922"/>
    <w:rsid w:val="00572F56"/>
    <w:rsid w:val="005738C4"/>
    <w:rsid w:val="00573BFB"/>
    <w:rsid w:val="00574268"/>
    <w:rsid w:val="00575E7D"/>
    <w:rsid w:val="005820FA"/>
    <w:rsid w:val="005848C2"/>
    <w:rsid w:val="00585066"/>
    <w:rsid w:val="005850C3"/>
    <w:rsid w:val="005859C6"/>
    <w:rsid w:val="005869D0"/>
    <w:rsid w:val="005914D7"/>
    <w:rsid w:val="005923F6"/>
    <w:rsid w:val="00593E2E"/>
    <w:rsid w:val="005A2B44"/>
    <w:rsid w:val="005A780A"/>
    <w:rsid w:val="005B21E5"/>
    <w:rsid w:val="005B6EF3"/>
    <w:rsid w:val="005B6FBD"/>
    <w:rsid w:val="005B797E"/>
    <w:rsid w:val="005C083E"/>
    <w:rsid w:val="005C099C"/>
    <w:rsid w:val="005C3AD3"/>
    <w:rsid w:val="005C4F4B"/>
    <w:rsid w:val="005D0EEA"/>
    <w:rsid w:val="005D124F"/>
    <w:rsid w:val="005D2DA1"/>
    <w:rsid w:val="005E022D"/>
    <w:rsid w:val="005E0651"/>
    <w:rsid w:val="005E2193"/>
    <w:rsid w:val="005E2C71"/>
    <w:rsid w:val="005F0371"/>
    <w:rsid w:val="005F11C2"/>
    <w:rsid w:val="005F266F"/>
    <w:rsid w:val="00602A1C"/>
    <w:rsid w:val="006072AC"/>
    <w:rsid w:val="006114F3"/>
    <w:rsid w:val="006134FC"/>
    <w:rsid w:val="00614DE3"/>
    <w:rsid w:val="00617443"/>
    <w:rsid w:val="00617445"/>
    <w:rsid w:val="00620250"/>
    <w:rsid w:val="006223DA"/>
    <w:rsid w:val="00623FE4"/>
    <w:rsid w:val="006264F4"/>
    <w:rsid w:val="00627756"/>
    <w:rsid w:val="0063015C"/>
    <w:rsid w:val="006310B9"/>
    <w:rsid w:val="006324F8"/>
    <w:rsid w:val="00635064"/>
    <w:rsid w:val="00635C23"/>
    <w:rsid w:val="00640BBD"/>
    <w:rsid w:val="00643C20"/>
    <w:rsid w:val="00646AAC"/>
    <w:rsid w:val="0065185B"/>
    <w:rsid w:val="00657663"/>
    <w:rsid w:val="00657F55"/>
    <w:rsid w:val="006611AE"/>
    <w:rsid w:val="00661DB2"/>
    <w:rsid w:val="00663824"/>
    <w:rsid w:val="00663B72"/>
    <w:rsid w:val="0066617F"/>
    <w:rsid w:val="00667390"/>
    <w:rsid w:val="00671530"/>
    <w:rsid w:val="00672065"/>
    <w:rsid w:val="00673A33"/>
    <w:rsid w:val="00677240"/>
    <w:rsid w:val="00681B96"/>
    <w:rsid w:val="00681F47"/>
    <w:rsid w:val="00687EA3"/>
    <w:rsid w:val="00693510"/>
    <w:rsid w:val="00694879"/>
    <w:rsid w:val="006A05DD"/>
    <w:rsid w:val="006A0C01"/>
    <w:rsid w:val="006A1739"/>
    <w:rsid w:val="006A5144"/>
    <w:rsid w:val="006A685A"/>
    <w:rsid w:val="006A7135"/>
    <w:rsid w:val="006B19C2"/>
    <w:rsid w:val="006B48B1"/>
    <w:rsid w:val="006B51EE"/>
    <w:rsid w:val="006C3DF6"/>
    <w:rsid w:val="006C4F28"/>
    <w:rsid w:val="006C6674"/>
    <w:rsid w:val="006C6A67"/>
    <w:rsid w:val="006D326A"/>
    <w:rsid w:val="006D4395"/>
    <w:rsid w:val="006D48EF"/>
    <w:rsid w:val="006E1A59"/>
    <w:rsid w:val="006E6FF6"/>
    <w:rsid w:val="006E7272"/>
    <w:rsid w:val="006F0C0E"/>
    <w:rsid w:val="006F1D74"/>
    <w:rsid w:val="006F28BC"/>
    <w:rsid w:val="006F3986"/>
    <w:rsid w:val="006F3B5D"/>
    <w:rsid w:val="006F6605"/>
    <w:rsid w:val="00701113"/>
    <w:rsid w:val="00705DA8"/>
    <w:rsid w:val="00711EDA"/>
    <w:rsid w:val="0072216F"/>
    <w:rsid w:val="00724D99"/>
    <w:rsid w:val="007263F8"/>
    <w:rsid w:val="00726831"/>
    <w:rsid w:val="0073211D"/>
    <w:rsid w:val="007343FC"/>
    <w:rsid w:val="00734654"/>
    <w:rsid w:val="00735A20"/>
    <w:rsid w:val="00741F44"/>
    <w:rsid w:val="00742B51"/>
    <w:rsid w:val="00745887"/>
    <w:rsid w:val="00747B7D"/>
    <w:rsid w:val="00747CDA"/>
    <w:rsid w:val="0075180B"/>
    <w:rsid w:val="007575DF"/>
    <w:rsid w:val="0076010C"/>
    <w:rsid w:val="0076171E"/>
    <w:rsid w:val="00762EA5"/>
    <w:rsid w:val="00766123"/>
    <w:rsid w:val="0077054F"/>
    <w:rsid w:val="007711D3"/>
    <w:rsid w:val="007715A3"/>
    <w:rsid w:val="00774725"/>
    <w:rsid w:val="00774D19"/>
    <w:rsid w:val="00782037"/>
    <w:rsid w:val="00782150"/>
    <w:rsid w:val="0078288C"/>
    <w:rsid w:val="00785008"/>
    <w:rsid w:val="00786BA6"/>
    <w:rsid w:val="00792D3E"/>
    <w:rsid w:val="00794CF9"/>
    <w:rsid w:val="007955AF"/>
    <w:rsid w:val="00795758"/>
    <w:rsid w:val="007960F6"/>
    <w:rsid w:val="00796774"/>
    <w:rsid w:val="007A064F"/>
    <w:rsid w:val="007A1D59"/>
    <w:rsid w:val="007A1F7E"/>
    <w:rsid w:val="007A56A2"/>
    <w:rsid w:val="007A6AD3"/>
    <w:rsid w:val="007A7B20"/>
    <w:rsid w:val="007B49F1"/>
    <w:rsid w:val="007B6247"/>
    <w:rsid w:val="007C1C96"/>
    <w:rsid w:val="007C3079"/>
    <w:rsid w:val="007C5300"/>
    <w:rsid w:val="007D07F5"/>
    <w:rsid w:val="007D0F32"/>
    <w:rsid w:val="007D3710"/>
    <w:rsid w:val="007E417C"/>
    <w:rsid w:val="007E426C"/>
    <w:rsid w:val="007E62F9"/>
    <w:rsid w:val="007E7FCA"/>
    <w:rsid w:val="007F0F9E"/>
    <w:rsid w:val="007F2214"/>
    <w:rsid w:val="007F42F8"/>
    <w:rsid w:val="007F4A87"/>
    <w:rsid w:val="007F65D3"/>
    <w:rsid w:val="00800444"/>
    <w:rsid w:val="00800C10"/>
    <w:rsid w:val="00800F71"/>
    <w:rsid w:val="00801125"/>
    <w:rsid w:val="0081148B"/>
    <w:rsid w:val="008129EF"/>
    <w:rsid w:val="0081557B"/>
    <w:rsid w:val="008173A9"/>
    <w:rsid w:val="00822B5C"/>
    <w:rsid w:val="00827066"/>
    <w:rsid w:val="00827C31"/>
    <w:rsid w:val="00827E91"/>
    <w:rsid w:val="00830088"/>
    <w:rsid w:val="00834A9C"/>
    <w:rsid w:val="00834D4D"/>
    <w:rsid w:val="00834EB4"/>
    <w:rsid w:val="0084012A"/>
    <w:rsid w:val="008405C7"/>
    <w:rsid w:val="00844CE6"/>
    <w:rsid w:val="00844EB6"/>
    <w:rsid w:val="0084640C"/>
    <w:rsid w:val="00850E52"/>
    <w:rsid w:val="00854102"/>
    <w:rsid w:val="00856A88"/>
    <w:rsid w:val="00861399"/>
    <w:rsid w:val="00864F37"/>
    <w:rsid w:val="008671DB"/>
    <w:rsid w:val="00867883"/>
    <w:rsid w:val="008711D0"/>
    <w:rsid w:val="00873609"/>
    <w:rsid w:val="00873684"/>
    <w:rsid w:val="00874170"/>
    <w:rsid w:val="008754BA"/>
    <w:rsid w:val="00877103"/>
    <w:rsid w:val="00883C6A"/>
    <w:rsid w:val="0088426C"/>
    <w:rsid w:val="00887287"/>
    <w:rsid w:val="00891058"/>
    <w:rsid w:val="00896668"/>
    <w:rsid w:val="008A48A0"/>
    <w:rsid w:val="008A4F57"/>
    <w:rsid w:val="008A5EDD"/>
    <w:rsid w:val="008B0EC5"/>
    <w:rsid w:val="008B187A"/>
    <w:rsid w:val="008B4330"/>
    <w:rsid w:val="008C13A0"/>
    <w:rsid w:val="008C55AD"/>
    <w:rsid w:val="008C6A46"/>
    <w:rsid w:val="008D1BDF"/>
    <w:rsid w:val="008D2D05"/>
    <w:rsid w:val="008D2FFF"/>
    <w:rsid w:val="008D5F09"/>
    <w:rsid w:val="008E04F2"/>
    <w:rsid w:val="008E08A7"/>
    <w:rsid w:val="008E1A04"/>
    <w:rsid w:val="008E6834"/>
    <w:rsid w:val="008E69CA"/>
    <w:rsid w:val="008F0570"/>
    <w:rsid w:val="008F1543"/>
    <w:rsid w:val="008F2CDB"/>
    <w:rsid w:val="008F2E23"/>
    <w:rsid w:val="008F4332"/>
    <w:rsid w:val="00900713"/>
    <w:rsid w:val="00901949"/>
    <w:rsid w:val="00902911"/>
    <w:rsid w:val="00903416"/>
    <w:rsid w:val="00903CF0"/>
    <w:rsid w:val="00904DBC"/>
    <w:rsid w:val="009065BB"/>
    <w:rsid w:val="00907719"/>
    <w:rsid w:val="00907A1D"/>
    <w:rsid w:val="00911588"/>
    <w:rsid w:val="00914472"/>
    <w:rsid w:val="00920110"/>
    <w:rsid w:val="00922B32"/>
    <w:rsid w:val="00926266"/>
    <w:rsid w:val="00926314"/>
    <w:rsid w:val="00926397"/>
    <w:rsid w:val="00932790"/>
    <w:rsid w:val="00932F59"/>
    <w:rsid w:val="009344D7"/>
    <w:rsid w:val="00935BE1"/>
    <w:rsid w:val="00936F2B"/>
    <w:rsid w:val="0094036F"/>
    <w:rsid w:val="00945C98"/>
    <w:rsid w:val="009535D2"/>
    <w:rsid w:val="009553C8"/>
    <w:rsid w:val="009574D8"/>
    <w:rsid w:val="00970820"/>
    <w:rsid w:val="009713BD"/>
    <w:rsid w:val="0097183B"/>
    <w:rsid w:val="00972C14"/>
    <w:rsid w:val="00972C2E"/>
    <w:rsid w:val="00972D34"/>
    <w:rsid w:val="00976E05"/>
    <w:rsid w:val="00976EB4"/>
    <w:rsid w:val="00980253"/>
    <w:rsid w:val="00980420"/>
    <w:rsid w:val="00982F03"/>
    <w:rsid w:val="009853C7"/>
    <w:rsid w:val="00985E7D"/>
    <w:rsid w:val="00993083"/>
    <w:rsid w:val="0099452D"/>
    <w:rsid w:val="00994F84"/>
    <w:rsid w:val="009952D0"/>
    <w:rsid w:val="00996C17"/>
    <w:rsid w:val="00996F1F"/>
    <w:rsid w:val="009A047F"/>
    <w:rsid w:val="009A08F3"/>
    <w:rsid w:val="009A1C93"/>
    <w:rsid w:val="009A37D0"/>
    <w:rsid w:val="009A5FA4"/>
    <w:rsid w:val="009B18C5"/>
    <w:rsid w:val="009B2E50"/>
    <w:rsid w:val="009B45ED"/>
    <w:rsid w:val="009B48B0"/>
    <w:rsid w:val="009B5B92"/>
    <w:rsid w:val="009B7691"/>
    <w:rsid w:val="009C550A"/>
    <w:rsid w:val="009D0DB4"/>
    <w:rsid w:val="009D104D"/>
    <w:rsid w:val="009D7A82"/>
    <w:rsid w:val="009D7EAC"/>
    <w:rsid w:val="009E102B"/>
    <w:rsid w:val="009E1451"/>
    <w:rsid w:val="009E25A6"/>
    <w:rsid w:val="009E35B1"/>
    <w:rsid w:val="009E3AFA"/>
    <w:rsid w:val="009E3E60"/>
    <w:rsid w:val="009E4D06"/>
    <w:rsid w:val="009F07DC"/>
    <w:rsid w:val="009F1D54"/>
    <w:rsid w:val="009F41BC"/>
    <w:rsid w:val="009F4F86"/>
    <w:rsid w:val="00A00A9F"/>
    <w:rsid w:val="00A0720D"/>
    <w:rsid w:val="00A145EC"/>
    <w:rsid w:val="00A174B0"/>
    <w:rsid w:val="00A21A53"/>
    <w:rsid w:val="00A24863"/>
    <w:rsid w:val="00A265C9"/>
    <w:rsid w:val="00A347AB"/>
    <w:rsid w:val="00A348CC"/>
    <w:rsid w:val="00A34D23"/>
    <w:rsid w:val="00A35402"/>
    <w:rsid w:val="00A367B2"/>
    <w:rsid w:val="00A375F5"/>
    <w:rsid w:val="00A4001A"/>
    <w:rsid w:val="00A474DD"/>
    <w:rsid w:val="00A51E75"/>
    <w:rsid w:val="00A52D5F"/>
    <w:rsid w:val="00A532FD"/>
    <w:rsid w:val="00A5592C"/>
    <w:rsid w:val="00A55A94"/>
    <w:rsid w:val="00A564C8"/>
    <w:rsid w:val="00A5771F"/>
    <w:rsid w:val="00A62ED9"/>
    <w:rsid w:val="00A64F68"/>
    <w:rsid w:val="00A76CF4"/>
    <w:rsid w:val="00A820A8"/>
    <w:rsid w:val="00A902AF"/>
    <w:rsid w:val="00A90ED3"/>
    <w:rsid w:val="00A9158B"/>
    <w:rsid w:val="00AA1350"/>
    <w:rsid w:val="00AA304A"/>
    <w:rsid w:val="00AA4C60"/>
    <w:rsid w:val="00AA735B"/>
    <w:rsid w:val="00AB24A7"/>
    <w:rsid w:val="00AB629E"/>
    <w:rsid w:val="00AC1764"/>
    <w:rsid w:val="00AC28AC"/>
    <w:rsid w:val="00AC3D3F"/>
    <w:rsid w:val="00AC4EC2"/>
    <w:rsid w:val="00AC5168"/>
    <w:rsid w:val="00AC7651"/>
    <w:rsid w:val="00AC79C7"/>
    <w:rsid w:val="00AD379D"/>
    <w:rsid w:val="00AD4BD9"/>
    <w:rsid w:val="00AD5D91"/>
    <w:rsid w:val="00AD7DA5"/>
    <w:rsid w:val="00AF04C0"/>
    <w:rsid w:val="00AF13CE"/>
    <w:rsid w:val="00AF36C9"/>
    <w:rsid w:val="00AF4EA3"/>
    <w:rsid w:val="00AF716D"/>
    <w:rsid w:val="00AF7B8A"/>
    <w:rsid w:val="00B01A04"/>
    <w:rsid w:val="00B0371D"/>
    <w:rsid w:val="00B03AC9"/>
    <w:rsid w:val="00B11F9D"/>
    <w:rsid w:val="00B13828"/>
    <w:rsid w:val="00B14F29"/>
    <w:rsid w:val="00B16B5A"/>
    <w:rsid w:val="00B207CF"/>
    <w:rsid w:val="00B236A6"/>
    <w:rsid w:val="00B25BB9"/>
    <w:rsid w:val="00B30849"/>
    <w:rsid w:val="00B33693"/>
    <w:rsid w:val="00B33CF6"/>
    <w:rsid w:val="00B34CEF"/>
    <w:rsid w:val="00B36E40"/>
    <w:rsid w:val="00B41948"/>
    <w:rsid w:val="00B422D9"/>
    <w:rsid w:val="00B42F53"/>
    <w:rsid w:val="00B433DE"/>
    <w:rsid w:val="00B45271"/>
    <w:rsid w:val="00B454AC"/>
    <w:rsid w:val="00B5005F"/>
    <w:rsid w:val="00B51E07"/>
    <w:rsid w:val="00B543D3"/>
    <w:rsid w:val="00B552B4"/>
    <w:rsid w:val="00B567ED"/>
    <w:rsid w:val="00B60E2F"/>
    <w:rsid w:val="00B615D6"/>
    <w:rsid w:val="00B63876"/>
    <w:rsid w:val="00B65527"/>
    <w:rsid w:val="00B7216B"/>
    <w:rsid w:val="00B73AE1"/>
    <w:rsid w:val="00B757DB"/>
    <w:rsid w:val="00B8756C"/>
    <w:rsid w:val="00B9657D"/>
    <w:rsid w:val="00B97C7B"/>
    <w:rsid w:val="00BA244F"/>
    <w:rsid w:val="00BA7CF2"/>
    <w:rsid w:val="00BB0010"/>
    <w:rsid w:val="00BB1068"/>
    <w:rsid w:val="00BB33E3"/>
    <w:rsid w:val="00BB4116"/>
    <w:rsid w:val="00BB598A"/>
    <w:rsid w:val="00BB651D"/>
    <w:rsid w:val="00BC1FF3"/>
    <w:rsid w:val="00BC2548"/>
    <w:rsid w:val="00BC4F94"/>
    <w:rsid w:val="00BC5A93"/>
    <w:rsid w:val="00BC761D"/>
    <w:rsid w:val="00BD1237"/>
    <w:rsid w:val="00BD2B42"/>
    <w:rsid w:val="00BD4317"/>
    <w:rsid w:val="00BD59E6"/>
    <w:rsid w:val="00BD637D"/>
    <w:rsid w:val="00BE0798"/>
    <w:rsid w:val="00BE0CFE"/>
    <w:rsid w:val="00BE404D"/>
    <w:rsid w:val="00BE58C0"/>
    <w:rsid w:val="00BF438C"/>
    <w:rsid w:val="00BF6970"/>
    <w:rsid w:val="00BF69A3"/>
    <w:rsid w:val="00BF7C13"/>
    <w:rsid w:val="00BF7F8F"/>
    <w:rsid w:val="00C000DE"/>
    <w:rsid w:val="00C0075B"/>
    <w:rsid w:val="00C00C12"/>
    <w:rsid w:val="00C0159F"/>
    <w:rsid w:val="00C06E9F"/>
    <w:rsid w:val="00C142C3"/>
    <w:rsid w:val="00C15052"/>
    <w:rsid w:val="00C21029"/>
    <w:rsid w:val="00C227D9"/>
    <w:rsid w:val="00C22DBC"/>
    <w:rsid w:val="00C237D9"/>
    <w:rsid w:val="00C261A2"/>
    <w:rsid w:val="00C32B9A"/>
    <w:rsid w:val="00C33DA6"/>
    <w:rsid w:val="00C4103A"/>
    <w:rsid w:val="00C41EFA"/>
    <w:rsid w:val="00C4213C"/>
    <w:rsid w:val="00C44574"/>
    <w:rsid w:val="00C45270"/>
    <w:rsid w:val="00C45A23"/>
    <w:rsid w:val="00C465DF"/>
    <w:rsid w:val="00C47C4C"/>
    <w:rsid w:val="00C50DED"/>
    <w:rsid w:val="00C50E72"/>
    <w:rsid w:val="00C55A7B"/>
    <w:rsid w:val="00C62FDD"/>
    <w:rsid w:val="00C63E1C"/>
    <w:rsid w:val="00C67321"/>
    <w:rsid w:val="00C6753C"/>
    <w:rsid w:val="00C67F1C"/>
    <w:rsid w:val="00C706EA"/>
    <w:rsid w:val="00C727E0"/>
    <w:rsid w:val="00C73957"/>
    <w:rsid w:val="00C764CB"/>
    <w:rsid w:val="00C80D11"/>
    <w:rsid w:val="00C921C5"/>
    <w:rsid w:val="00C93ED1"/>
    <w:rsid w:val="00C95B22"/>
    <w:rsid w:val="00C96E72"/>
    <w:rsid w:val="00C97D26"/>
    <w:rsid w:val="00CA074C"/>
    <w:rsid w:val="00CB0502"/>
    <w:rsid w:val="00CB180E"/>
    <w:rsid w:val="00CB25ED"/>
    <w:rsid w:val="00CB31FB"/>
    <w:rsid w:val="00CB4E8C"/>
    <w:rsid w:val="00CB5D91"/>
    <w:rsid w:val="00CB75DF"/>
    <w:rsid w:val="00CC094E"/>
    <w:rsid w:val="00CC22C0"/>
    <w:rsid w:val="00CC38A4"/>
    <w:rsid w:val="00CC64A1"/>
    <w:rsid w:val="00CD1B33"/>
    <w:rsid w:val="00CD45F6"/>
    <w:rsid w:val="00CD741B"/>
    <w:rsid w:val="00CE32F6"/>
    <w:rsid w:val="00CE51FE"/>
    <w:rsid w:val="00CF00C4"/>
    <w:rsid w:val="00CF01C7"/>
    <w:rsid w:val="00CF7823"/>
    <w:rsid w:val="00D0084E"/>
    <w:rsid w:val="00D03E88"/>
    <w:rsid w:val="00D111B4"/>
    <w:rsid w:val="00D13235"/>
    <w:rsid w:val="00D17A1F"/>
    <w:rsid w:val="00D17F72"/>
    <w:rsid w:val="00D216A3"/>
    <w:rsid w:val="00D26536"/>
    <w:rsid w:val="00D26610"/>
    <w:rsid w:val="00D30565"/>
    <w:rsid w:val="00D3090C"/>
    <w:rsid w:val="00D32183"/>
    <w:rsid w:val="00D35ED5"/>
    <w:rsid w:val="00D37B3B"/>
    <w:rsid w:val="00D37D82"/>
    <w:rsid w:val="00D4643E"/>
    <w:rsid w:val="00D52C84"/>
    <w:rsid w:val="00D55CE9"/>
    <w:rsid w:val="00D57E51"/>
    <w:rsid w:val="00D630EE"/>
    <w:rsid w:val="00D671EB"/>
    <w:rsid w:val="00D701AF"/>
    <w:rsid w:val="00D72043"/>
    <w:rsid w:val="00D750C6"/>
    <w:rsid w:val="00D76347"/>
    <w:rsid w:val="00D777E8"/>
    <w:rsid w:val="00D816CF"/>
    <w:rsid w:val="00D8474C"/>
    <w:rsid w:val="00D84B14"/>
    <w:rsid w:val="00D873FD"/>
    <w:rsid w:val="00D9309A"/>
    <w:rsid w:val="00D950F7"/>
    <w:rsid w:val="00DA4A74"/>
    <w:rsid w:val="00DA4E45"/>
    <w:rsid w:val="00DA5368"/>
    <w:rsid w:val="00DB1905"/>
    <w:rsid w:val="00DB2E15"/>
    <w:rsid w:val="00DB355C"/>
    <w:rsid w:val="00DB6C8D"/>
    <w:rsid w:val="00DB795A"/>
    <w:rsid w:val="00DC3067"/>
    <w:rsid w:val="00DC6592"/>
    <w:rsid w:val="00DC6BA4"/>
    <w:rsid w:val="00DD46E4"/>
    <w:rsid w:val="00DD747E"/>
    <w:rsid w:val="00DE0349"/>
    <w:rsid w:val="00DE2626"/>
    <w:rsid w:val="00DE59E3"/>
    <w:rsid w:val="00DE7748"/>
    <w:rsid w:val="00DF2A5F"/>
    <w:rsid w:val="00DF2DDD"/>
    <w:rsid w:val="00DF30A6"/>
    <w:rsid w:val="00DF5C13"/>
    <w:rsid w:val="00DF6F65"/>
    <w:rsid w:val="00DF77CD"/>
    <w:rsid w:val="00E001E3"/>
    <w:rsid w:val="00E00B9D"/>
    <w:rsid w:val="00E00DF4"/>
    <w:rsid w:val="00E01768"/>
    <w:rsid w:val="00E01B23"/>
    <w:rsid w:val="00E0351C"/>
    <w:rsid w:val="00E0450B"/>
    <w:rsid w:val="00E06883"/>
    <w:rsid w:val="00E0689F"/>
    <w:rsid w:val="00E0766A"/>
    <w:rsid w:val="00E07949"/>
    <w:rsid w:val="00E10F0E"/>
    <w:rsid w:val="00E11982"/>
    <w:rsid w:val="00E11AE7"/>
    <w:rsid w:val="00E208DE"/>
    <w:rsid w:val="00E21B5A"/>
    <w:rsid w:val="00E22EE1"/>
    <w:rsid w:val="00E23BE8"/>
    <w:rsid w:val="00E2506A"/>
    <w:rsid w:val="00E26C95"/>
    <w:rsid w:val="00E305FC"/>
    <w:rsid w:val="00E309A4"/>
    <w:rsid w:val="00E3400F"/>
    <w:rsid w:val="00E418CE"/>
    <w:rsid w:val="00E4251D"/>
    <w:rsid w:val="00E44CCF"/>
    <w:rsid w:val="00E46DD6"/>
    <w:rsid w:val="00E529E1"/>
    <w:rsid w:val="00E53CF1"/>
    <w:rsid w:val="00E54F02"/>
    <w:rsid w:val="00E56312"/>
    <w:rsid w:val="00E56456"/>
    <w:rsid w:val="00E5740A"/>
    <w:rsid w:val="00E608D4"/>
    <w:rsid w:val="00E6138D"/>
    <w:rsid w:val="00E61742"/>
    <w:rsid w:val="00E637AA"/>
    <w:rsid w:val="00E65C3D"/>
    <w:rsid w:val="00E75103"/>
    <w:rsid w:val="00E76AB1"/>
    <w:rsid w:val="00E77AB7"/>
    <w:rsid w:val="00E8713D"/>
    <w:rsid w:val="00E87323"/>
    <w:rsid w:val="00E937E1"/>
    <w:rsid w:val="00E944A7"/>
    <w:rsid w:val="00E97FEF"/>
    <w:rsid w:val="00EA0A84"/>
    <w:rsid w:val="00EA2C97"/>
    <w:rsid w:val="00EA2D74"/>
    <w:rsid w:val="00EA3EA1"/>
    <w:rsid w:val="00EA4328"/>
    <w:rsid w:val="00EA5E40"/>
    <w:rsid w:val="00EB68E8"/>
    <w:rsid w:val="00EC08AF"/>
    <w:rsid w:val="00EC1183"/>
    <w:rsid w:val="00EC297A"/>
    <w:rsid w:val="00EC2EEC"/>
    <w:rsid w:val="00EC66A6"/>
    <w:rsid w:val="00ED05C9"/>
    <w:rsid w:val="00ED2D28"/>
    <w:rsid w:val="00ED3565"/>
    <w:rsid w:val="00ED5835"/>
    <w:rsid w:val="00ED5FD5"/>
    <w:rsid w:val="00ED7F94"/>
    <w:rsid w:val="00EE0194"/>
    <w:rsid w:val="00EE08D0"/>
    <w:rsid w:val="00EE0E59"/>
    <w:rsid w:val="00EE4A28"/>
    <w:rsid w:val="00EF00CD"/>
    <w:rsid w:val="00EF0B3B"/>
    <w:rsid w:val="00EF4D97"/>
    <w:rsid w:val="00EF5AD5"/>
    <w:rsid w:val="00EF7299"/>
    <w:rsid w:val="00F023B3"/>
    <w:rsid w:val="00F04664"/>
    <w:rsid w:val="00F065E3"/>
    <w:rsid w:val="00F1050B"/>
    <w:rsid w:val="00F10E0F"/>
    <w:rsid w:val="00F111EB"/>
    <w:rsid w:val="00F11BCB"/>
    <w:rsid w:val="00F16935"/>
    <w:rsid w:val="00F21DAA"/>
    <w:rsid w:val="00F26ECA"/>
    <w:rsid w:val="00F27289"/>
    <w:rsid w:val="00F316DA"/>
    <w:rsid w:val="00F32862"/>
    <w:rsid w:val="00F451A7"/>
    <w:rsid w:val="00F45AF9"/>
    <w:rsid w:val="00F45DD3"/>
    <w:rsid w:val="00F47972"/>
    <w:rsid w:val="00F507DE"/>
    <w:rsid w:val="00F5150D"/>
    <w:rsid w:val="00F54837"/>
    <w:rsid w:val="00F5733E"/>
    <w:rsid w:val="00F671C7"/>
    <w:rsid w:val="00F72051"/>
    <w:rsid w:val="00F748C1"/>
    <w:rsid w:val="00F75CA7"/>
    <w:rsid w:val="00F7631F"/>
    <w:rsid w:val="00F812FF"/>
    <w:rsid w:val="00F81969"/>
    <w:rsid w:val="00F8416C"/>
    <w:rsid w:val="00F86200"/>
    <w:rsid w:val="00F87FD7"/>
    <w:rsid w:val="00F92BBE"/>
    <w:rsid w:val="00F93750"/>
    <w:rsid w:val="00FA0126"/>
    <w:rsid w:val="00FA0BD0"/>
    <w:rsid w:val="00FA11C5"/>
    <w:rsid w:val="00FA19DE"/>
    <w:rsid w:val="00FA21FB"/>
    <w:rsid w:val="00FA2836"/>
    <w:rsid w:val="00FA3767"/>
    <w:rsid w:val="00FA44A8"/>
    <w:rsid w:val="00FB0130"/>
    <w:rsid w:val="00FB07C2"/>
    <w:rsid w:val="00FB22DB"/>
    <w:rsid w:val="00FB28CC"/>
    <w:rsid w:val="00FB2A71"/>
    <w:rsid w:val="00FB3C85"/>
    <w:rsid w:val="00FB3F84"/>
    <w:rsid w:val="00FB618C"/>
    <w:rsid w:val="00FC01D8"/>
    <w:rsid w:val="00FC2E56"/>
    <w:rsid w:val="00FC489C"/>
    <w:rsid w:val="00FC491F"/>
    <w:rsid w:val="00FD1B2E"/>
    <w:rsid w:val="00FD1CA0"/>
    <w:rsid w:val="00FD3817"/>
    <w:rsid w:val="00FD7C1B"/>
    <w:rsid w:val="00FE0D95"/>
    <w:rsid w:val="00FE18F6"/>
    <w:rsid w:val="00FE344D"/>
    <w:rsid w:val="00FE4BB3"/>
    <w:rsid w:val="00FF4513"/>
    <w:rsid w:val="02813CD6"/>
    <w:rsid w:val="2BC97882"/>
    <w:rsid w:val="3E6A0C8A"/>
    <w:rsid w:val="60FA59AC"/>
    <w:rsid w:val="79700D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Date"/>
    <w:basedOn w:val="1"/>
    <w:next w:val="1"/>
    <w:link w:val="19"/>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FollowedHyperlink"/>
    <w:basedOn w:val="11"/>
    <w:semiHidden/>
    <w:unhideWhenUsed/>
    <w:qFormat/>
    <w:uiPriority w:val="99"/>
    <w:rPr>
      <w:color w:val="954F72"/>
      <w:u w:val="single"/>
    </w:rPr>
  </w:style>
  <w:style w:type="character" w:styleId="13">
    <w:name w:val="Hyperlink"/>
    <w:basedOn w:val="11"/>
    <w:semiHidden/>
    <w:unhideWhenUsed/>
    <w:qFormat/>
    <w:uiPriority w:val="99"/>
    <w:rPr>
      <w:color w:val="0000FF" w:themeColor="hyperlink"/>
      <w:u w:val="single"/>
      <w14:textFill>
        <w14:solidFill>
          <w14:schemeClr w14:val="hlink"/>
        </w14:solidFill>
      </w14:textFill>
    </w:rPr>
  </w:style>
  <w:style w:type="character" w:customStyle="1" w:styleId="14">
    <w:name w:val="标题 2 Char"/>
    <w:basedOn w:val="11"/>
    <w:link w:val="2"/>
    <w:uiPriority w:val="9"/>
    <w:rPr>
      <w:rFonts w:asciiTheme="majorHAnsi" w:hAnsiTheme="majorHAnsi" w:eastAsiaTheme="majorEastAsia" w:cstheme="majorBidi"/>
      <w:b/>
      <w:bCs/>
      <w:sz w:val="32"/>
      <w:szCs w:val="32"/>
    </w:rPr>
  </w:style>
  <w:style w:type="character" w:customStyle="1" w:styleId="15">
    <w:name w:val="批注框文本 Char"/>
    <w:basedOn w:val="11"/>
    <w:link w:val="5"/>
    <w:semiHidden/>
    <w:uiPriority w:val="99"/>
    <w:rPr>
      <w:rFonts w:ascii="Calibri" w:hAnsi="Calibri" w:eastAsia="宋体" w:cs="Times New Roman"/>
      <w:sz w:val="18"/>
      <w:szCs w:val="18"/>
    </w:rPr>
  </w:style>
  <w:style w:type="character" w:customStyle="1" w:styleId="16">
    <w:name w:val="页眉 Char"/>
    <w:basedOn w:val="11"/>
    <w:link w:val="7"/>
    <w:qFormat/>
    <w:uiPriority w:val="99"/>
    <w:rPr>
      <w:rFonts w:ascii="Calibri" w:hAnsi="Calibri" w:eastAsia="宋体" w:cs="Times New Roman"/>
      <w:sz w:val="18"/>
      <w:szCs w:val="18"/>
    </w:rPr>
  </w:style>
  <w:style w:type="character" w:customStyle="1" w:styleId="17">
    <w:name w:val="页脚 Char"/>
    <w:basedOn w:val="11"/>
    <w:link w:val="6"/>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日期 Char"/>
    <w:basedOn w:val="11"/>
    <w:link w:val="4"/>
    <w:semiHidden/>
    <w:qFormat/>
    <w:uiPriority w:val="99"/>
    <w:rPr>
      <w:rFonts w:ascii="Calibri" w:hAnsi="Calibri" w:eastAsia="宋体" w:cs="Times New Roman"/>
    </w:rPr>
  </w:style>
  <w:style w:type="paragraph" w:customStyle="1" w:styleId="20">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21">
    <w:name w:val="xl63"/>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22">
    <w:name w:val="xl6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
    <w:name w:val="xl65"/>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24">
    <w:name w:val="xl66"/>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
    <w:name w:val="xl67"/>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2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9">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0">
    <w:name w:val="zw"/>
    <w:basedOn w:val="1"/>
    <w:qFormat/>
    <w:uiPriority w:val="99"/>
    <w:pPr>
      <w:spacing w:line="536" w:lineRule="exact"/>
      <w:ind w:firstLine="200" w:firstLineChars="200"/>
      <w:textAlignment w:val="center"/>
    </w:pPr>
    <w:rPr>
      <w:rFonts w:ascii="仿宋_GB2312" w:hAnsi="Times New Roman" w:eastAsia="仿宋_GB2312"/>
      <w:color w:val="008080"/>
      <w:sz w:val="30"/>
      <w:szCs w:val="30"/>
    </w:rPr>
  </w:style>
  <w:style w:type="paragraph" w:customStyle="1" w:styleId="31">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2">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4">
    <w:name w:val="xl74"/>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18"/>
      <w:szCs w:val="18"/>
    </w:rPr>
  </w:style>
  <w:style w:type="paragraph" w:customStyle="1" w:styleId="35">
    <w:name w:val="xl75"/>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18"/>
      <w:szCs w:val="18"/>
    </w:rPr>
  </w:style>
  <w:style w:type="paragraph" w:customStyle="1" w:styleId="36">
    <w:name w:val="xl76"/>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7">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8">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39">
    <w:name w:val="xl79"/>
    <w:basedOn w:val="1"/>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40">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1">
    <w:name w:val="xl8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4">
    <w:name w:val="xl84"/>
    <w:basedOn w:val="1"/>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45">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46">
    <w:name w:val="xl86"/>
    <w:basedOn w:val="1"/>
    <w:qFormat/>
    <w:uiPriority w:val="0"/>
    <w:pPr>
      <w:widowControl/>
      <w:pBdr>
        <w:left w:val="single" w:color="auto" w:sz="4" w:space="0"/>
      </w:pBdr>
      <w:spacing w:before="100" w:beforeAutospacing="1" w:after="100" w:afterAutospacing="1"/>
      <w:jc w:val="center"/>
    </w:pPr>
    <w:rPr>
      <w:rFonts w:ascii="宋体" w:hAnsi="宋体" w:cs="宋体"/>
      <w:kern w:val="0"/>
      <w:sz w:val="16"/>
      <w:szCs w:val="16"/>
    </w:rPr>
  </w:style>
  <w:style w:type="paragraph" w:customStyle="1" w:styleId="47">
    <w:name w:val="xl87"/>
    <w:basedOn w:val="1"/>
    <w:qFormat/>
    <w:uiPriority w:val="0"/>
    <w:pPr>
      <w:widowControl/>
      <w:pBdr>
        <w:right w:val="single" w:color="auto" w:sz="4" w:space="0"/>
      </w:pBdr>
      <w:spacing w:before="100" w:beforeAutospacing="1" w:after="100" w:afterAutospacing="1"/>
      <w:jc w:val="center"/>
    </w:pPr>
    <w:rPr>
      <w:rFonts w:ascii="宋体" w:hAnsi="宋体" w:cs="宋体"/>
      <w:kern w:val="0"/>
      <w:sz w:val="16"/>
      <w:szCs w:val="16"/>
    </w:rPr>
  </w:style>
  <w:style w:type="paragraph" w:customStyle="1" w:styleId="48">
    <w:name w:val="xl8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49">
    <w:name w:val="xl89"/>
    <w:basedOn w:val="1"/>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50">
    <w:name w:val="xl90"/>
    <w:basedOn w:val="1"/>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1">
    <w:name w:val="xl9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5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53">
    <w:name w:val="xl93"/>
    <w:basedOn w:val="1"/>
    <w:qFormat/>
    <w:uiPriority w:val="0"/>
    <w:pPr>
      <w:widowControl/>
      <w:pBdr>
        <w:top w:val="single" w:color="auto" w:sz="4" w:space="0"/>
      </w:pBdr>
      <w:spacing w:before="100" w:beforeAutospacing="1" w:after="100" w:afterAutospacing="1"/>
      <w:jc w:val="left"/>
    </w:pPr>
    <w:rPr>
      <w:rFonts w:ascii="宋体" w:hAnsi="宋体" w:cs="宋体"/>
      <w:kern w:val="0"/>
      <w:sz w:val="16"/>
      <w:szCs w:val="16"/>
    </w:rPr>
  </w:style>
  <w:style w:type="paragraph" w:customStyle="1" w:styleId="54">
    <w:name w:val="font7"/>
    <w:basedOn w:val="1"/>
    <w:qFormat/>
    <w:uiPriority w:val="0"/>
    <w:pPr>
      <w:widowControl/>
      <w:spacing w:before="100" w:beforeAutospacing="1" w:after="100" w:afterAutospacing="1"/>
      <w:jc w:val="left"/>
    </w:pPr>
    <w:rPr>
      <w:rFonts w:ascii="宋体" w:hAnsi="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33</Pages>
  <Words>3268</Words>
  <Characters>18634</Characters>
  <Lines>155</Lines>
  <Paragraphs>43</Paragraphs>
  <TotalTime>33</TotalTime>
  <ScaleCrop>false</ScaleCrop>
  <LinksUpToDate>false</LinksUpToDate>
  <CharactersWithSpaces>21859</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2019-11-05T01:37:00Z</dcterms:created>
  <dc:creator>林燕</dc:creator>
  <cp:lastModifiedBy>面包树上</cp:lastModifiedBy>
  <cp:lastPrinted>2017-02-13T10:46:00Z</cp:lastPrinted>
  <dcterms:modified xsi:type="dcterms:W3CDTF">2020-03-20T01:31:55Z</dcterms:modified>
  <cp:revision>1400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