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隶书"/>
          <w:b/>
          <w:bCs/>
          <w:spacing w:val="-20"/>
          <w:sz w:val="72"/>
          <w:szCs w:val="24"/>
        </w:rPr>
      </w:pPr>
    </w:p>
    <w:p>
      <w:pPr>
        <w:spacing w:line="580" w:lineRule="exact"/>
        <w:jc w:val="center"/>
        <w:rPr>
          <w:rFonts w:ascii="Times New Roman" w:hAnsi="Times New Roman" w:eastAsia="隶书"/>
          <w:b/>
          <w:bCs/>
          <w:spacing w:val="-20"/>
          <w:sz w:val="72"/>
          <w:szCs w:val="24"/>
        </w:rPr>
      </w:pPr>
    </w:p>
    <w:p>
      <w:pPr>
        <w:spacing w:line="580" w:lineRule="exact"/>
        <w:jc w:val="center"/>
        <w:rPr>
          <w:rFonts w:ascii="Times New Roman" w:hAnsi="Times New Roman" w:eastAsia="方正小标宋简体"/>
          <w:bCs/>
          <w:kern w:val="0"/>
          <w:sz w:val="44"/>
          <w:szCs w:val="44"/>
        </w:rPr>
      </w:pPr>
      <w:r>
        <w:rPr>
          <w:rFonts w:ascii="Times New Roman" w:hAnsi="Times New Roman" w:eastAsia="方正小标宋简体"/>
          <w:bCs/>
          <w:kern w:val="0"/>
          <w:sz w:val="44"/>
          <w:szCs w:val="44"/>
        </w:rPr>
        <w:t>高等学历继续教育</w:t>
      </w:r>
    </w:p>
    <w:p>
      <w:pPr>
        <w:spacing w:line="580" w:lineRule="exact"/>
        <w:jc w:val="center"/>
        <w:rPr>
          <w:rFonts w:ascii="Times New Roman" w:hAnsi="Times New Roman" w:eastAsia="方正小标宋简体"/>
          <w:bCs/>
          <w:kern w:val="0"/>
          <w:sz w:val="44"/>
          <w:szCs w:val="44"/>
        </w:rPr>
      </w:pPr>
      <w:r>
        <w:rPr>
          <w:rFonts w:ascii="Times New Roman" w:hAnsi="Times New Roman" w:eastAsia="方正小标宋简体"/>
          <w:bCs/>
          <w:kern w:val="0"/>
          <w:sz w:val="44"/>
          <w:szCs w:val="44"/>
        </w:rPr>
        <w:t>非国控专业增设申请表</w:t>
      </w:r>
    </w:p>
    <w:p>
      <w:pPr>
        <w:spacing w:line="580" w:lineRule="exact"/>
        <w:rPr>
          <w:rFonts w:ascii="Times New Roman" w:hAnsi="Times New Roman"/>
          <w:szCs w:val="24"/>
        </w:rPr>
      </w:pPr>
    </w:p>
    <w:p>
      <w:pPr>
        <w:spacing w:line="580" w:lineRule="exact"/>
        <w:rPr>
          <w:rFonts w:ascii="Times New Roman" w:hAnsi="Times New Roman"/>
          <w:szCs w:val="24"/>
        </w:rPr>
      </w:pPr>
    </w:p>
    <w:p>
      <w:pPr>
        <w:spacing w:line="580" w:lineRule="exact"/>
        <w:ind w:firstLine="990" w:firstLineChars="275"/>
        <w:rPr>
          <w:rFonts w:ascii="Times New Roman" w:hAnsi="Times New Roman"/>
          <w:szCs w:val="24"/>
        </w:rPr>
      </w:pPr>
      <w:r>
        <w:rPr>
          <w:rFonts w:ascii="Times New Roman" w:eastAsia="楷体_GB2312"/>
          <w:sz w:val="36"/>
          <w:szCs w:val="24"/>
        </w:rPr>
        <w:t>学校名称（盖章）：</w:t>
      </w:r>
      <w:r>
        <w:rPr>
          <w:rFonts w:hint="eastAsia" w:ascii="Times New Roman" w:eastAsia="楷体_GB2312"/>
          <w:sz w:val="36"/>
          <w:szCs w:val="24"/>
        </w:rPr>
        <w:t>国家开放大学</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学校主管部门：</w:t>
      </w:r>
      <w:r>
        <w:rPr>
          <w:rFonts w:hint="eastAsia" w:ascii="Times New Roman" w:eastAsia="楷体_GB2312"/>
          <w:sz w:val="36"/>
          <w:szCs w:val="24"/>
        </w:rPr>
        <w:t>北京市教育委员会</w:t>
      </w:r>
    </w:p>
    <w:p>
      <w:pPr>
        <w:spacing w:line="580" w:lineRule="exact"/>
        <w:ind w:firstLine="990" w:firstLineChars="275"/>
        <w:rPr>
          <w:rFonts w:ascii="Times New Roman" w:hAnsi="Times New Roman" w:eastAsia="楷体_GB2312"/>
          <w:sz w:val="36"/>
          <w:szCs w:val="24"/>
          <w:u w:val="thick"/>
        </w:rPr>
      </w:pPr>
      <w:r>
        <w:rPr>
          <w:rFonts w:ascii="Times New Roman" w:eastAsia="楷体_GB2312"/>
          <w:sz w:val="36"/>
          <w:szCs w:val="24"/>
        </w:rPr>
        <w:t>专业名称：</w:t>
      </w:r>
      <w:r>
        <w:rPr>
          <w:rFonts w:hint="eastAsia" w:ascii="Times New Roman" w:eastAsia="楷体_GB2312"/>
          <w:sz w:val="36"/>
          <w:szCs w:val="24"/>
        </w:rPr>
        <w:t>社会体育指导与管理</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专业代码：</w:t>
      </w:r>
      <w:r>
        <w:rPr>
          <w:rFonts w:hint="eastAsia" w:ascii="Times New Roman" w:eastAsia="楷体_GB2312"/>
          <w:sz w:val="36"/>
          <w:szCs w:val="24"/>
        </w:rPr>
        <w:t>040203</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所属专业门类或专业大类：</w:t>
      </w:r>
      <w:r>
        <w:rPr>
          <w:rFonts w:hint="eastAsia" w:ascii="Times New Roman" w:eastAsia="楷体_GB2312"/>
          <w:spacing w:val="14"/>
          <w:sz w:val="36"/>
          <w:szCs w:val="24"/>
        </w:rPr>
        <w:t>教育学</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修业年限：</w:t>
      </w:r>
      <w:r>
        <w:rPr>
          <w:rFonts w:hint="eastAsia" w:ascii="Times New Roman" w:eastAsia="楷体_GB2312"/>
          <w:spacing w:val="14"/>
          <w:sz w:val="36"/>
          <w:szCs w:val="24"/>
        </w:rPr>
        <w:t>2.5年</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培养层次</w:t>
      </w:r>
      <w:r>
        <w:rPr>
          <w:rFonts w:hint="eastAsia" w:ascii="Times New Roman" w:hAnsi="Times New Roman" w:eastAsia="楷体_GB2312"/>
          <w:spacing w:val="14"/>
          <w:sz w:val="36"/>
          <w:szCs w:val="24"/>
          <w:lang w:eastAsia="zh-CN"/>
        </w:rPr>
        <w:t>：</w:t>
      </w:r>
      <w:r>
        <w:rPr>
          <w:rFonts w:hint="eastAsia" w:ascii="Times New Roman" w:hAnsi="Times New Roman" w:eastAsia="楷体_GB2312"/>
          <w:spacing w:val="14"/>
          <w:sz w:val="36"/>
          <w:szCs w:val="24"/>
        </w:rPr>
        <w:t>本科（专科起点）</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学习形式</w:t>
      </w:r>
      <w:r>
        <w:rPr>
          <w:rFonts w:hint="eastAsia" w:ascii="Times New Roman" w:hAnsi="Times New Roman" w:eastAsia="楷体_GB2312"/>
          <w:spacing w:val="14"/>
          <w:sz w:val="36"/>
          <w:szCs w:val="24"/>
          <w:lang w:eastAsia="zh-CN"/>
        </w:rPr>
        <w:t>：</w:t>
      </w:r>
      <w:r>
        <w:rPr>
          <w:rFonts w:hint="eastAsia" w:ascii="Times New Roman" w:hAnsi="Times New Roman" w:eastAsia="楷体_GB2312"/>
          <w:spacing w:val="14"/>
          <w:sz w:val="36"/>
          <w:szCs w:val="24"/>
        </w:rPr>
        <w:t>开放教育</w:t>
      </w:r>
    </w:p>
    <w:p>
      <w:pPr>
        <w:spacing w:line="580" w:lineRule="exact"/>
        <w:ind w:firstLine="989" w:firstLineChars="255"/>
        <w:rPr>
          <w:rFonts w:ascii="Times New Roman" w:hAnsi="Times New Roman" w:eastAsia="楷体_GB2312"/>
          <w:sz w:val="36"/>
          <w:szCs w:val="24"/>
        </w:rPr>
      </w:pPr>
      <w:r>
        <w:rPr>
          <w:rFonts w:ascii="Times New Roman" w:eastAsia="楷体_GB2312"/>
          <w:spacing w:val="14"/>
          <w:sz w:val="36"/>
          <w:szCs w:val="24"/>
        </w:rPr>
        <w:t>申请时间：</w:t>
      </w:r>
      <w:r>
        <w:rPr>
          <w:rFonts w:hint="eastAsia" w:ascii="Times New Roman" w:eastAsia="楷体_GB2312"/>
          <w:spacing w:val="14"/>
          <w:sz w:val="36"/>
          <w:szCs w:val="24"/>
        </w:rPr>
        <w:t>2020年1月</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专业负责人：</w:t>
      </w:r>
      <w:r>
        <w:rPr>
          <w:rFonts w:hint="eastAsia" w:ascii="Times New Roman" w:eastAsia="楷体_GB2312"/>
          <w:sz w:val="36"/>
          <w:szCs w:val="24"/>
        </w:rPr>
        <w:t>陈碧华</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联系电话：</w:t>
      </w:r>
      <w:r>
        <w:rPr>
          <w:rFonts w:hint="eastAsia" w:ascii="Times New Roman" w:eastAsia="楷体_GB2312"/>
          <w:sz w:val="36"/>
          <w:szCs w:val="24"/>
        </w:rPr>
        <w:t>13907489755</w:t>
      </w:r>
    </w:p>
    <w:p>
      <w:pPr>
        <w:spacing w:line="580" w:lineRule="exact"/>
        <w:rPr>
          <w:rFonts w:ascii="Times New Roman" w:hAnsi="Times New Roman" w:eastAsia="楷体_GB2312"/>
          <w:sz w:val="44"/>
          <w:szCs w:val="24"/>
        </w:rPr>
      </w:pPr>
    </w:p>
    <w:p>
      <w:pPr>
        <w:spacing w:line="580" w:lineRule="exact"/>
        <w:rPr>
          <w:rFonts w:ascii="Times New Roman" w:hAnsi="Times New Roman"/>
          <w:szCs w:val="24"/>
        </w:rPr>
      </w:pP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r>
        <w:rPr>
          <w:rFonts w:ascii="Times New Roman" w:eastAsia="楷体_GB2312"/>
          <w:sz w:val="36"/>
          <w:szCs w:val="24"/>
        </w:rPr>
        <w:t>中华人民共和国教育部制</w:t>
      </w: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jc w:val="center"/>
        <w:rPr>
          <w:rFonts w:ascii="Times New Roman" w:hAnsi="Times New Roman" w:eastAsia="仿宋_GB2312"/>
          <w:b/>
          <w:bCs/>
          <w:sz w:val="36"/>
          <w:szCs w:val="36"/>
        </w:rPr>
      </w:pPr>
    </w:p>
    <w:p>
      <w:pPr>
        <w:spacing w:line="580" w:lineRule="exact"/>
        <w:jc w:val="center"/>
        <w:rPr>
          <w:rFonts w:ascii="Times New Roman" w:hAnsi="Times New Roman" w:eastAsia="仿宋_GB2312"/>
          <w:b/>
          <w:bCs/>
          <w:sz w:val="36"/>
          <w:szCs w:val="36"/>
        </w:rPr>
      </w:pPr>
      <w:r>
        <w:rPr>
          <w:rFonts w:ascii="Times New Roman" w:eastAsia="仿宋_GB2312"/>
          <w:b/>
          <w:bCs/>
          <w:sz w:val="36"/>
          <w:szCs w:val="36"/>
        </w:rPr>
        <w:t>目录</w:t>
      </w:r>
    </w:p>
    <w:p>
      <w:pPr>
        <w:spacing w:line="580" w:lineRule="exact"/>
        <w:rPr>
          <w:rFonts w:ascii="Times New Roman" w:hAnsi="Times New Roman" w:eastAsia="仿宋_GB2312"/>
          <w:sz w:val="32"/>
          <w:szCs w:val="24"/>
        </w:rPr>
      </w:pP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1. 专业增设申请表</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2. 学校基本情况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3. 增设专业的理由和基础</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4. 增设专业人才培养方案</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5. 增设专业专任教师情况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6. 增设专业计划开设的主要课程</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7. 增设专业基本办学条件</w:t>
      </w:r>
    </w:p>
    <w:p>
      <w:pPr>
        <w:spacing w:line="580" w:lineRule="exact"/>
        <w:rPr>
          <w:rFonts w:ascii="Times New Roman" w:hAnsi="Times New Roman" w:eastAsia="仿宋_GB2312"/>
          <w:sz w:val="32"/>
          <w:szCs w:val="24"/>
        </w:rPr>
      </w:pPr>
    </w:p>
    <w:p>
      <w:pPr>
        <w:spacing w:line="580" w:lineRule="exact"/>
        <w:rPr>
          <w:rFonts w:ascii="Times New Roman" w:hAnsi="Times New Roman"/>
          <w:sz w:val="32"/>
          <w:szCs w:val="24"/>
        </w:rPr>
      </w:pPr>
    </w:p>
    <w:p>
      <w:pPr>
        <w:spacing w:line="580" w:lineRule="exact"/>
        <w:rPr>
          <w:rFonts w:ascii="Times New Roman" w:hAnsi="Times New Roman"/>
          <w:szCs w:val="24"/>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jc w:val="center"/>
        <w:rPr>
          <w:rFonts w:ascii="Times New Roman" w:hAnsi="Times New Roman" w:eastAsia="仿宋_GB2312"/>
          <w:b/>
          <w:bCs/>
          <w:spacing w:val="100"/>
          <w:sz w:val="32"/>
          <w:szCs w:val="32"/>
        </w:rPr>
      </w:pPr>
    </w:p>
    <w:p>
      <w:pPr>
        <w:spacing w:line="580" w:lineRule="exact"/>
        <w:jc w:val="center"/>
        <w:rPr>
          <w:rFonts w:ascii="Times New Roman" w:hAnsi="Times New Roman" w:eastAsia="仿宋_GB2312"/>
          <w:b/>
          <w:bCs/>
          <w:spacing w:val="100"/>
          <w:sz w:val="32"/>
          <w:szCs w:val="32"/>
        </w:rPr>
      </w:pPr>
      <w:r>
        <w:rPr>
          <w:rFonts w:ascii="Times New Roman" w:eastAsia="仿宋_GB2312"/>
          <w:b/>
          <w:bCs/>
          <w:spacing w:val="100"/>
          <w:sz w:val="32"/>
          <w:szCs w:val="32"/>
        </w:rPr>
        <w:t>填表说明</w:t>
      </w:r>
    </w:p>
    <w:p>
      <w:pPr>
        <w:spacing w:line="580" w:lineRule="exact"/>
        <w:jc w:val="center"/>
        <w:rPr>
          <w:rFonts w:ascii="Times New Roman" w:hAnsi="Times New Roman" w:eastAsia="仿宋_GB2312"/>
          <w:spacing w:val="100"/>
          <w:sz w:val="32"/>
          <w:szCs w:val="32"/>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1.申请表限用A4纸张打印并装订成册（各专业分别装订）;</w:t>
      </w:r>
    </w:p>
    <w:p>
      <w:pPr>
        <w:spacing w:line="560" w:lineRule="exact"/>
        <w:rPr>
          <w:rFonts w:ascii="Times New Roman" w:hAnsi="Times New Roman"/>
        </w:rPr>
      </w:pPr>
      <w:r>
        <w:rPr>
          <w:rFonts w:ascii="Times New Roman" w:hAnsi="Times New Roman" w:eastAsia="仿宋_GB2312"/>
          <w:sz w:val="32"/>
          <w:szCs w:val="32"/>
        </w:rPr>
        <w:t>2.在学校办学基本类型对应的方框中画“√”;</w:t>
      </w:r>
    </w:p>
    <w:p>
      <w:pPr>
        <w:spacing w:line="560" w:lineRule="exact"/>
        <w:rPr>
          <w:rFonts w:ascii="Times New Roman" w:hAnsi="Times New Roman" w:eastAsia="仿宋_GB2312"/>
          <w:sz w:val="32"/>
          <w:szCs w:val="32"/>
        </w:rPr>
      </w:pPr>
      <w:r>
        <w:rPr>
          <w:rFonts w:ascii="Times New Roman" w:hAnsi="Times New Roman" w:eastAsia="仿宋_GB2312"/>
          <w:sz w:val="32"/>
          <w:szCs w:val="32"/>
        </w:rPr>
        <w:t>3.所有表格均可另加页;</w:t>
      </w:r>
    </w:p>
    <w:p>
      <w:pPr>
        <w:spacing w:line="560" w:lineRule="exact"/>
        <w:rPr>
          <w:rFonts w:ascii="Times New Roman" w:hAnsi="Times New Roman"/>
          <w:sz w:val="30"/>
          <w:szCs w:val="30"/>
        </w:rPr>
      </w:pPr>
      <w:r>
        <w:rPr>
          <w:rFonts w:ascii="Times New Roman" w:hAnsi="Times New Roman" w:eastAsia="仿宋_GB2312"/>
          <w:sz w:val="32"/>
          <w:szCs w:val="32"/>
        </w:rPr>
        <w:t>4.本表内容应真实、准确。</w:t>
      </w:r>
    </w:p>
    <w:p>
      <w:pPr>
        <w:spacing w:line="56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after="156" w:afterLines="50" w:line="580" w:lineRule="exact"/>
        <w:jc w:val="center"/>
        <w:rPr>
          <w:rFonts w:ascii="Times New Roman" w:hAnsi="Times New Roman" w:eastAsia="黑体"/>
          <w:bCs/>
          <w:sz w:val="32"/>
          <w:szCs w:val="24"/>
        </w:rPr>
      </w:pPr>
      <w:r>
        <w:rPr>
          <w:rFonts w:ascii="Times New Roman" w:hAnsi="Times New Roman" w:eastAsia="黑体"/>
          <w:bCs/>
          <w:sz w:val="32"/>
          <w:szCs w:val="24"/>
        </w:rPr>
        <w:t>专业增设申请表</w:t>
      </w:r>
    </w:p>
    <w:tbl>
      <w:tblPr>
        <w:tblStyle w:val="9"/>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2532"/>
        <w:gridCol w:w="1656"/>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专业代码</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040203</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专业名称</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社会体育指导与管理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培养层次</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本科</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学习形式</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开放教育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color w:val="000000"/>
                <w:sz w:val="24"/>
                <w:szCs w:val="24"/>
              </w:rPr>
              <w:t>修业年限</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hint="eastAsia" w:ascii="Times New Roman" w:hAnsi="Times New Roman"/>
                <w:sz w:val="24"/>
                <w:szCs w:val="24"/>
              </w:rPr>
              <w:t>2.5年</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color w:val="000000"/>
                <w:sz w:val="24"/>
                <w:szCs w:val="24"/>
              </w:rPr>
              <w:t>现有专业（个）</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宋体" w:hAnsi="宋体"/>
                <w:sz w:val="24"/>
                <w:szCs w:val="24"/>
              </w:rPr>
              <w:t>现有</w:t>
            </w:r>
            <w:r>
              <w:rPr>
                <w:rFonts w:ascii="Times New Roman" w:hAnsi="Times New Roman"/>
                <w:sz w:val="24"/>
                <w:szCs w:val="24"/>
              </w:rPr>
              <w:t>专业166个，其中专科专业121个，本科专业45个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学科门类（本科）或专业大类（专科）</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教育学</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本校已设的相近专业及开设年份</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体育教育（专），2015年</w:t>
            </w:r>
          </w:p>
          <w:p>
            <w:pPr>
              <w:spacing w:line="360" w:lineRule="exact"/>
              <w:jc w:val="center"/>
              <w:rPr>
                <w:rFonts w:ascii="Times New Roman" w:hAnsi="Times New Roman"/>
                <w:sz w:val="24"/>
                <w:szCs w:val="24"/>
              </w:rPr>
            </w:pPr>
            <w:r>
              <w:rPr>
                <w:rFonts w:hint="eastAsia" w:ascii="Times New Roman" w:hAnsi="Times New Roman"/>
                <w:sz w:val="24"/>
                <w:szCs w:val="24"/>
              </w:rPr>
              <w:t>社会体育（专），2016年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拟首次招生时间</w:t>
            </w:r>
          </w:p>
          <w:p>
            <w:pPr>
              <w:spacing w:line="360" w:lineRule="exact"/>
              <w:jc w:val="center"/>
              <w:rPr>
                <w:rFonts w:ascii="Times New Roman" w:hAnsi="Times New Roman"/>
                <w:sz w:val="24"/>
                <w:szCs w:val="24"/>
              </w:rPr>
            </w:pPr>
            <w:r>
              <w:rPr>
                <w:rFonts w:ascii="Times New Roman"/>
                <w:sz w:val="24"/>
                <w:szCs w:val="24"/>
              </w:rPr>
              <w:t>及招生数</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202</w:t>
            </w:r>
            <w:r>
              <w:rPr>
                <w:rFonts w:hint="eastAsia" w:ascii="Times New Roman" w:hAnsi="Times New Roman"/>
                <w:sz w:val="24"/>
                <w:szCs w:val="24"/>
                <w:lang w:val="en-US" w:eastAsia="zh-CN"/>
              </w:rPr>
              <w:t>1</w:t>
            </w:r>
            <w:r>
              <w:rPr>
                <w:rFonts w:hint="eastAsia" w:ascii="Times New Roman" w:hAnsi="Times New Roman"/>
                <w:sz w:val="24"/>
                <w:szCs w:val="24"/>
              </w:rPr>
              <w:t>年，150人</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五年内计划</w:t>
            </w:r>
          </w:p>
          <w:p>
            <w:pPr>
              <w:spacing w:line="360" w:lineRule="exact"/>
              <w:jc w:val="center"/>
              <w:rPr>
                <w:rFonts w:ascii="Times New Roman" w:hAnsi="Times New Roman"/>
                <w:sz w:val="24"/>
                <w:szCs w:val="24"/>
              </w:rPr>
            </w:pPr>
            <w:r>
              <w:rPr>
                <w:rFonts w:ascii="Times New Roman"/>
                <w:sz w:val="24"/>
                <w:szCs w:val="24"/>
              </w:rPr>
              <w:t>发展规模</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1500人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1"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学校专业设置评议专家组织评议意见</w:t>
            </w:r>
          </w:p>
          <w:p>
            <w:pPr>
              <w:spacing w:line="360" w:lineRule="exact"/>
              <w:jc w:val="center"/>
              <w:rPr>
                <w:rFonts w:ascii="Times New Roman" w:hAnsi="Times New Roman"/>
                <w:sz w:val="24"/>
                <w:szCs w:val="24"/>
              </w:rPr>
            </w:pP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ind w:firstLine="3240" w:firstLineChars="1350"/>
              <w:rPr>
                <w:rFonts w:ascii="Times New Roman" w:hAnsi="Times New Roman"/>
                <w:sz w:val="24"/>
                <w:szCs w:val="24"/>
              </w:rPr>
            </w:pPr>
            <w:r>
              <w:rPr>
                <w:rFonts w:ascii="Times New Roman"/>
                <w:sz w:val="24"/>
                <w:szCs w:val="24"/>
              </w:rPr>
              <w:t>（主任签字）</w:t>
            </w:r>
          </w:p>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p>
            <w:pPr>
              <w:spacing w:line="360" w:lineRule="exact"/>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3"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学校意见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ind w:firstLine="3360" w:firstLineChars="1400"/>
              <w:rPr>
                <w:rFonts w:ascii="Times New Roman" w:hAnsi="Times New Roman"/>
                <w:sz w:val="24"/>
                <w:szCs w:val="24"/>
              </w:rPr>
            </w:pPr>
          </w:p>
          <w:p>
            <w:pPr>
              <w:spacing w:line="360" w:lineRule="exact"/>
              <w:rPr>
                <w:rFonts w:ascii="Times New Roman" w:hAnsi="Times New Roman"/>
                <w:sz w:val="24"/>
                <w:szCs w:val="24"/>
              </w:rPr>
            </w:pPr>
            <w:r>
              <w:rPr>
                <w:rFonts w:ascii="Times New Roman"/>
                <w:sz w:val="24"/>
                <w:szCs w:val="24"/>
              </w:rPr>
              <w:t>（校长签字）</w:t>
            </w:r>
            <w:r>
              <w:rPr>
                <w:rFonts w:ascii="Times New Roman" w:hAnsi="Times New Roman"/>
                <w:sz w:val="24"/>
                <w:szCs w:val="24"/>
              </w:rPr>
              <w:t xml:space="preserve">                   </w:t>
            </w:r>
            <w:r>
              <w:rPr>
                <w:rFonts w:ascii="Times New Roman"/>
                <w:sz w:val="24"/>
                <w:szCs w:val="24"/>
              </w:rPr>
              <w:t>学校（盖章）：</w:t>
            </w:r>
          </w:p>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5"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szCs w:val="24"/>
              </w:rPr>
            </w:pPr>
            <w:r>
              <w:rPr>
                <w:rFonts w:ascii="Times New Roman" w:hAnsi="宋体"/>
                <w:sz w:val="24"/>
                <w:szCs w:val="24"/>
              </w:rPr>
              <w:t>省级</w:t>
            </w:r>
          </w:p>
          <w:p>
            <w:pPr>
              <w:jc w:val="center"/>
              <w:rPr>
                <w:rFonts w:ascii="Times New Roman" w:hAnsi="Times New Roman"/>
                <w:sz w:val="24"/>
                <w:szCs w:val="24"/>
              </w:rPr>
            </w:pPr>
            <w:r>
              <w:rPr>
                <w:rFonts w:ascii="Times New Roman" w:hAnsi="宋体"/>
                <w:sz w:val="24"/>
                <w:szCs w:val="24"/>
              </w:rPr>
              <w:t>教育</w:t>
            </w:r>
          </w:p>
          <w:p>
            <w:pPr>
              <w:jc w:val="center"/>
              <w:rPr>
                <w:rFonts w:ascii="Times New Roman" w:hAnsi="Times New Roman"/>
                <w:sz w:val="24"/>
                <w:szCs w:val="24"/>
              </w:rPr>
            </w:pPr>
            <w:r>
              <w:rPr>
                <w:rFonts w:ascii="Times New Roman" w:hAnsi="宋体"/>
                <w:sz w:val="24"/>
                <w:szCs w:val="24"/>
              </w:rPr>
              <w:t>行政</w:t>
            </w:r>
          </w:p>
          <w:p>
            <w:pPr>
              <w:jc w:val="center"/>
              <w:rPr>
                <w:rFonts w:ascii="Times New Roman" w:hAnsi="Times New Roman"/>
                <w:sz w:val="24"/>
                <w:szCs w:val="24"/>
              </w:rPr>
            </w:pPr>
            <w:r>
              <w:rPr>
                <w:rFonts w:ascii="Times New Roman" w:hAnsi="宋体"/>
                <w:sz w:val="24"/>
                <w:szCs w:val="24"/>
              </w:rPr>
              <w:t>部门</w:t>
            </w:r>
          </w:p>
          <w:p>
            <w:pPr>
              <w:spacing w:line="360" w:lineRule="exact"/>
              <w:jc w:val="center"/>
              <w:rPr>
                <w:rFonts w:ascii="Times New Roman" w:hAnsi="Times New Roman"/>
                <w:sz w:val="24"/>
                <w:szCs w:val="24"/>
              </w:rPr>
            </w:pPr>
            <w:r>
              <w:rPr>
                <w:rFonts w:ascii="Times New Roman" w:hAnsi="宋体"/>
                <w:sz w:val="24"/>
                <w:szCs w:val="24"/>
              </w:rPr>
              <w:t>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盖章：</w:t>
            </w: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bl>
    <w:p>
      <w:pPr>
        <w:spacing w:line="580" w:lineRule="exact"/>
        <w:rPr>
          <w:rFonts w:ascii="Times New Roman" w:hAnsi="Times New Roman" w:eastAsia="华文楷体"/>
          <w:b/>
          <w:sz w:val="24"/>
          <w:szCs w:val="24"/>
        </w:rPr>
      </w:pPr>
      <w:r>
        <w:rPr>
          <w:rFonts w:ascii="Times New Roman" w:hAnsi="华文楷体" w:eastAsia="华文楷体"/>
          <w:sz w:val="24"/>
          <w:szCs w:val="24"/>
        </w:rPr>
        <w:t>注：专业代码按《办法》规定的专业目录填写。</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32"/>
          <w:szCs w:val="32"/>
        </w:rPr>
        <w:t>学校基本情况</w:t>
      </w:r>
    </w:p>
    <w:tbl>
      <w:tblPr>
        <w:tblStyle w:val="9"/>
        <w:tblW w:w="8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709"/>
        <w:gridCol w:w="1276"/>
        <w:gridCol w:w="2835"/>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学校名称</w:t>
            </w:r>
          </w:p>
        </w:tc>
        <w:tc>
          <w:tcPr>
            <w:tcW w:w="170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hAnsi="Times New Roman" w:eastAsiaTheme="minorEastAsia"/>
                <w:color w:val="000000" w:themeColor="text1"/>
                <w:sz w:val="24"/>
                <w:szCs w:val="24"/>
                <w14:textFill>
                  <w14:solidFill>
                    <w14:schemeClr w14:val="tx1"/>
                  </w14:solidFill>
                </w14:textFill>
              </w:rPr>
              <w:t>国家开放大学</w:t>
            </w:r>
          </w:p>
        </w:tc>
        <w:tc>
          <w:tcPr>
            <w:tcW w:w="127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学校地址</w:t>
            </w:r>
          </w:p>
        </w:tc>
        <w:tc>
          <w:tcPr>
            <w:tcW w:w="420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hAnsi="Times New Roman" w:eastAsiaTheme="minorEastAsia"/>
                <w:color w:val="000000" w:themeColor="text1"/>
                <w:sz w:val="24"/>
                <w:szCs w:val="24"/>
                <w14:textFill>
                  <w14:solidFill>
                    <w14:schemeClr w14:val="tx1"/>
                  </w14:solidFill>
                </w14:textFill>
              </w:rPr>
              <w:t>北京市海淀区复兴路75号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邮政编码</w:t>
            </w:r>
          </w:p>
        </w:tc>
        <w:tc>
          <w:tcPr>
            <w:tcW w:w="170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100039</w:t>
            </w:r>
          </w:p>
        </w:tc>
        <w:tc>
          <w:tcPr>
            <w:tcW w:w="127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校园网址</w:t>
            </w:r>
          </w:p>
        </w:tc>
        <w:tc>
          <w:tcPr>
            <w:tcW w:w="420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http://www.ouchn.edu.cn/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在校生总数</w:t>
            </w:r>
          </w:p>
        </w:tc>
        <w:tc>
          <w:tcPr>
            <w:tcW w:w="298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Theme="minorEastAsia"/>
                <w:color w:val="000000" w:themeColor="text1"/>
                <w:sz w:val="24"/>
                <w:szCs w:val="24"/>
                <w14:textFill>
                  <w14:solidFill>
                    <w14:schemeClr w14:val="tx1"/>
                  </w14:solidFill>
                </w14:textFill>
              </w:rPr>
              <w:t>431.7</w:t>
            </w:r>
            <w:r>
              <w:rPr>
                <w:rFonts w:ascii="Times New Roman" w:hAnsi="Times New Roman" w:eastAsiaTheme="minorEastAsia"/>
                <w:color w:val="000000" w:themeColor="text1"/>
                <w:sz w:val="24"/>
                <w:szCs w:val="24"/>
                <w14:textFill>
                  <w14:solidFill>
                    <w14:schemeClr w14:val="tx1"/>
                  </w14:solidFill>
                </w14:textFill>
              </w:rPr>
              <w:t>万</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黑体"/>
                <w:sz w:val="24"/>
                <w:szCs w:val="24"/>
              </w:rPr>
            </w:pPr>
            <w:r>
              <w:rPr>
                <w:rFonts w:ascii="Times New Roman"/>
                <w:sz w:val="24"/>
                <w:szCs w:val="24"/>
              </w:rPr>
              <w:t>专业平均年招生规模</w:t>
            </w:r>
          </w:p>
        </w:tc>
        <w:tc>
          <w:tcPr>
            <w:tcW w:w="136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黑体"/>
                <w:sz w:val="24"/>
                <w:szCs w:val="24"/>
              </w:rPr>
            </w:pPr>
            <w:r>
              <w:rPr>
                <w:rFonts w:hint="eastAsia" w:ascii="Times New Roman" w:hAnsi="Times New Roman" w:eastAsiaTheme="minorEastAsia"/>
                <w:color w:val="000000" w:themeColor="text1"/>
                <w:sz w:val="24"/>
                <w:szCs w:val="24"/>
                <w14:textFill>
                  <w14:solidFill>
                    <w14:schemeClr w14:val="tx1"/>
                  </w14:solidFill>
                </w14:textFill>
              </w:rPr>
              <w:t>11199人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szCs w:val="24"/>
              </w:rPr>
            </w:pPr>
            <w:r>
              <w:rPr>
                <w:rFonts w:ascii="Times New Roman"/>
                <w:sz w:val="24"/>
                <w:szCs w:val="24"/>
              </w:rPr>
              <w:t>学校类型</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Theme="minorEastAsia"/>
                <w:sz w:val="24"/>
                <w:szCs w:val="24"/>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 eq \o\ac(□,</w:instrText>
            </w:r>
            <w:r>
              <w:rPr>
                <w:rFonts w:hint="eastAsia" w:ascii="宋体" w:hAnsiTheme="minorEastAsia" w:eastAsiaTheme="minorEastAsia" w:cstheme="minorEastAsia"/>
                <w:bCs/>
                <w:color w:val="000000" w:themeColor="text1"/>
                <w:position w:val="2"/>
                <w:sz w:val="16"/>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end"/>
            </w:r>
            <w:r>
              <w:rPr>
                <w:rFonts w:ascii="Times New Roman" w:hAnsiTheme="minorEastAsia" w:eastAsiaTheme="minorEastAsia"/>
                <w:sz w:val="24"/>
                <w:szCs w:val="24"/>
              </w:rPr>
              <w:t>开放大学</w:t>
            </w:r>
            <w:r>
              <w:rPr>
                <w:rFonts w:ascii="Times New Roman" w:hAnsi="Times New Roman" w:eastAsiaTheme="minorEastAsia"/>
                <w:sz w:val="24"/>
                <w:szCs w:val="24"/>
              </w:rPr>
              <w:t xml:space="preserve">   </w:t>
            </w:r>
            <w:r>
              <w:rPr>
                <w:rFonts w:hint="eastAsia" w:asciiTheme="minorEastAsia" w:hAnsiTheme="minorEastAsia" w:eastAsiaTheme="minorEastAsia"/>
                <w:sz w:val="24"/>
                <w:szCs w:val="24"/>
              </w:rPr>
              <w:t>□</w:t>
            </w:r>
            <w:r>
              <w:rPr>
                <w:rFonts w:ascii="Times New Roman" w:hAnsiTheme="minorEastAsia" w:eastAsiaTheme="minorEastAsia"/>
                <w:sz w:val="24"/>
                <w:szCs w:val="24"/>
              </w:rPr>
              <w:t>独立设置成人高校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szCs w:val="24"/>
              </w:rPr>
            </w:pPr>
            <w:r>
              <w:rPr>
                <w:rFonts w:ascii="Times New Roman"/>
                <w:sz w:val="24"/>
                <w:szCs w:val="24"/>
              </w:rPr>
              <w:t>已有学科门类或专业大类</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480"/>
              <w:rPr>
                <w:rFonts w:ascii="Times New Roman" w:hAnsi="Times New Roman" w:eastAsiaTheme="minorEastAsia"/>
                <w:sz w:val="24"/>
                <w:szCs w:val="24"/>
              </w:rPr>
            </w:pPr>
            <w:r>
              <w:rPr>
                <w:rFonts w:ascii="Times New Roman" w:hAnsi="Times New Roman" w:eastAsiaTheme="minorEastAsia"/>
                <w:sz w:val="24"/>
                <w:szCs w:val="24"/>
              </w:rPr>
              <w:t>本科专业学科：经济学，管理学，法学，教育学，文学，理学，工学，农学，医学等9个学科</w:t>
            </w:r>
          </w:p>
          <w:p>
            <w:pPr>
              <w:spacing w:line="400" w:lineRule="exact"/>
              <w:ind w:firstLine="480"/>
              <w:jc w:val="left"/>
              <w:rPr>
                <w:sz w:val="24"/>
                <w:szCs w:val="24"/>
              </w:rPr>
            </w:pPr>
            <w:r>
              <w:rPr>
                <w:rFonts w:ascii="Times New Roman" w:hAnsi="Times New Roman" w:eastAsiaTheme="minorEastAsia"/>
                <w:sz w:val="24"/>
                <w:szCs w:val="24"/>
              </w:rPr>
              <w:t>专科专业大类：</w:t>
            </w:r>
            <w:r>
              <w:rPr>
                <w:rFonts w:ascii="Times New Roman" w:hAnsi="Times New Roman"/>
                <w:sz w:val="24"/>
                <w:szCs w:val="24"/>
              </w:rPr>
              <w:t>农林牧副渔、资源环境与安全、能源动力与材料、土木建筑、水利、装备制造、生物与化工、轻工纺织、食品药品与粮食、交通运输、电子信息、医药卫生、财经商贸、旅游、文化艺术、新闻传播、教育与体育、公安与司法、公共管理与服务等19个专业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ind w:right="-105"/>
              <w:rPr>
                <w:rFonts w:ascii="Times New Roman" w:hAnsi="Times New Roman"/>
                <w:sz w:val="24"/>
                <w:szCs w:val="24"/>
              </w:rPr>
            </w:pPr>
            <w:r>
              <w:rPr>
                <w:rFonts w:ascii="Times New Roman"/>
                <w:sz w:val="24"/>
                <w:szCs w:val="24"/>
              </w:rPr>
              <w:t>专任教师</w:t>
            </w:r>
          </w:p>
          <w:p>
            <w:pPr>
              <w:spacing w:line="400" w:lineRule="exact"/>
              <w:jc w:val="center"/>
              <w:rPr>
                <w:rFonts w:ascii="Times New Roman" w:hAnsi="Times New Roman" w:eastAsia="黑体"/>
                <w:sz w:val="24"/>
                <w:szCs w:val="24"/>
              </w:rPr>
            </w:pPr>
            <w:r>
              <w:rPr>
                <w:rFonts w:ascii="Times New Roman"/>
                <w:sz w:val="24"/>
                <w:szCs w:val="24"/>
              </w:rPr>
              <w:t>总数（人）</w:t>
            </w:r>
          </w:p>
        </w:tc>
        <w:tc>
          <w:tcPr>
            <w:tcW w:w="298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黑体"/>
                <w:sz w:val="24"/>
                <w:szCs w:val="24"/>
              </w:rPr>
              <w:t>155</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专任教师中副教授及以上职称教师所占比例</w:t>
            </w:r>
          </w:p>
        </w:tc>
        <w:tc>
          <w:tcPr>
            <w:tcW w:w="13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黑体"/>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szCs w:val="24"/>
              </w:rPr>
            </w:pPr>
            <w:r>
              <w:rPr>
                <w:rFonts w:ascii="Times New Roman"/>
                <w:sz w:val="24"/>
                <w:szCs w:val="24"/>
              </w:rPr>
              <w:t>学校简介和</w:t>
            </w:r>
          </w:p>
          <w:p>
            <w:pPr>
              <w:spacing w:line="400" w:lineRule="exact"/>
              <w:jc w:val="center"/>
              <w:rPr>
                <w:rFonts w:ascii="Times New Roman" w:hAnsi="Times New Roman"/>
                <w:sz w:val="24"/>
                <w:szCs w:val="24"/>
              </w:rPr>
            </w:pPr>
            <w:r>
              <w:rPr>
                <w:rFonts w:ascii="Times New Roman"/>
                <w:sz w:val="24"/>
                <w:szCs w:val="24"/>
              </w:rPr>
              <w:t>历史沿革</w:t>
            </w:r>
          </w:p>
          <w:p>
            <w:pPr>
              <w:spacing w:line="400" w:lineRule="exact"/>
              <w:jc w:val="center"/>
              <w:rPr>
                <w:rFonts w:ascii="Times New Roman" w:hAnsi="Times New Roman" w:eastAsia="黑体"/>
                <w:sz w:val="24"/>
                <w:szCs w:val="24"/>
              </w:rPr>
            </w:pPr>
            <w:r>
              <w:rPr>
                <w:rFonts w:ascii="Times New Roman"/>
                <w:sz w:val="24"/>
                <w:szCs w:val="24"/>
              </w:rPr>
              <w:t>（</w:t>
            </w:r>
            <w:r>
              <w:rPr>
                <w:rFonts w:ascii="Times New Roman" w:hAnsi="Times New Roman"/>
                <w:sz w:val="24"/>
                <w:szCs w:val="24"/>
              </w:rPr>
              <w:t>300</w:t>
            </w:r>
            <w:r>
              <w:rPr>
                <w:rFonts w:ascii="Times New Roman"/>
                <w:sz w:val="24"/>
                <w:szCs w:val="24"/>
              </w:rPr>
              <w:t>字以内）</w:t>
            </w:r>
          </w:p>
        </w:tc>
        <w:tc>
          <w:tcPr>
            <w:tcW w:w="7187" w:type="dxa"/>
            <w:gridSpan w:val="4"/>
            <w:tcBorders>
              <w:top w:val="single" w:color="auto" w:sz="4" w:space="0"/>
              <w:left w:val="single" w:color="auto" w:sz="4" w:space="0"/>
              <w:bottom w:val="single" w:color="auto" w:sz="4" w:space="0"/>
              <w:right w:val="single" w:color="auto" w:sz="4" w:space="0"/>
            </w:tcBorders>
          </w:tcPr>
          <w:p>
            <w:pPr>
              <w:spacing w:line="400" w:lineRule="exact"/>
              <w:ind w:firstLine="480"/>
              <w:rPr>
                <w:rFonts w:ascii="Times New Roman" w:hAnsi="Times New Roman" w:eastAsiaTheme="minorEastAsia"/>
                <w:kern w:val="0"/>
                <w:sz w:val="24"/>
                <w:szCs w:val="24"/>
              </w:rPr>
            </w:pPr>
            <w:r>
              <w:rPr>
                <w:rFonts w:ascii="Times New Roman" w:hAnsi="Times New Roman" w:eastAsiaTheme="minorEastAsia"/>
                <w:sz w:val="24"/>
                <w:szCs w:val="24"/>
              </w:rPr>
              <w:t>国家开放大学是在中央广播电视大学和地方广播电视大学的基础上组建，以现代信息技术为支撑，办学网络立体覆盖全国城乡，学历与非学历教育并举，面向全体社会成员，</w:t>
            </w:r>
            <w:r>
              <w:rPr>
                <w:rFonts w:ascii="Times New Roman" w:hAnsi="Times New Roman" w:eastAsiaTheme="minorEastAsia"/>
                <w:kern w:val="0"/>
                <w:sz w:val="24"/>
                <w:szCs w:val="24"/>
              </w:rPr>
              <w:t>实施远程</w:t>
            </w:r>
            <w:r>
              <w:fldChar w:fldCharType="begin"/>
            </w:r>
            <w:r>
              <w:instrText xml:space="preserve"> HYPERLINK "https://baike.baidu.com/item/%E5%BC%80%E6%94%BE%E6%95%99%E8%82%B2" </w:instrText>
            </w:r>
            <w:r>
              <w:fldChar w:fldCharType="separate"/>
            </w:r>
            <w:r>
              <w:rPr>
                <w:rFonts w:ascii="Times New Roman" w:hAnsi="Times New Roman" w:eastAsiaTheme="minorEastAsia"/>
                <w:kern w:val="0"/>
                <w:sz w:val="24"/>
                <w:szCs w:val="24"/>
              </w:rPr>
              <w:t>开放教育</w:t>
            </w:r>
            <w:r>
              <w:rPr>
                <w:rFonts w:ascii="Times New Roman" w:hAnsi="Times New Roman" w:eastAsiaTheme="minorEastAsia"/>
                <w:kern w:val="0"/>
                <w:sz w:val="24"/>
                <w:szCs w:val="24"/>
              </w:rPr>
              <w:fldChar w:fldCharType="end"/>
            </w:r>
            <w:r>
              <w:rPr>
                <w:rFonts w:ascii="Times New Roman" w:hAnsi="Times New Roman" w:eastAsiaTheme="minorEastAsia"/>
                <w:kern w:val="0"/>
                <w:sz w:val="24"/>
                <w:szCs w:val="24"/>
              </w:rPr>
              <w:t>的新型高等学校。</w:t>
            </w:r>
            <w:r>
              <w:rPr>
                <w:rFonts w:ascii="Times New Roman" w:hAnsi="Times New Roman"/>
                <w:kern w:val="0"/>
                <w:sz w:val="24"/>
                <w:szCs w:val="24"/>
              </w:rPr>
              <w:t>2012年，国家开放大学的组建成立，标志着广播电视大学系统在新的历史起点上踏上了新的征途。</w:t>
            </w:r>
            <w:r>
              <w:rPr>
                <w:rFonts w:hint="eastAsia" w:ascii="MS Mincho" w:hAnsi="MS Mincho" w:eastAsia="MS Mincho" w:cs="MS Mincho"/>
                <w:kern w:val="0"/>
                <w:sz w:val="24"/>
                <w:szCs w:val="24"/>
              </w:rPr>
              <w:t> </w:t>
            </w:r>
            <w:r>
              <w:rPr>
                <w:rFonts w:ascii="Times New Roman" w:hAnsi="Times New Roman" w:eastAsiaTheme="minorEastAsia"/>
                <w:sz w:val="24"/>
                <w:szCs w:val="24"/>
              </w:rPr>
              <w:t>截止目前，国家开放大学注册在学生431.7万，其中本科104.1万，专科327.6万，包括农民学生20.7万，士官学生13.8万，残疾人学生4553名。</w:t>
            </w:r>
          </w:p>
          <w:p>
            <w:pPr>
              <w:spacing w:line="400" w:lineRule="exact"/>
              <w:ind w:firstLine="480"/>
              <w:rPr>
                <w:rFonts w:ascii="Times New Roman" w:hAnsi="Times New Roman" w:eastAsia="黑体"/>
                <w:sz w:val="24"/>
                <w:szCs w:val="24"/>
              </w:rPr>
            </w:pPr>
            <w:r>
              <w:rPr>
                <w:rFonts w:ascii="Times New Roman" w:hAnsi="Times New Roman" w:eastAsiaTheme="minorEastAsia"/>
                <w:kern w:val="0"/>
                <w:sz w:val="24"/>
                <w:szCs w:val="24"/>
              </w:rPr>
              <w:t>国家开放大学强</w:t>
            </w:r>
            <w:r>
              <w:rPr>
                <w:rFonts w:asciiTheme="minorEastAsia" w:hAnsiTheme="minorEastAsia" w:eastAsiaTheme="minorEastAsia"/>
                <w:kern w:val="0"/>
                <w:sz w:val="24"/>
                <w:szCs w:val="24"/>
              </w:rPr>
              <w:t>调“开放、责任、质量、多样化、国际化”</w:t>
            </w:r>
            <w:r>
              <w:rPr>
                <w:rFonts w:ascii="Times New Roman" w:hAnsi="Times New Roman" w:eastAsiaTheme="minorEastAsia"/>
                <w:kern w:val="0"/>
                <w:sz w:val="24"/>
                <w:szCs w:val="24"/>
              </w:rPr>
              <w:t>的办学理念，强调优质教育资源的集聚、整合和共享，强调以</w:t>
            </w:r>
            <w:r>
              <w:fldChar w:fldCharType="begin"/>
            </w:r>
            <w:r>
              <w:instrText xml:space="preserve"> HYPERLINK "https://baike.baidu.com/item/%E7%8E%B0%E4%BB%A3%E4%BF%A1%E6%81%AF%E6%8A%80%E6%9C%AF/2426261" </w:instrText>
            </w:r>
            <w:r>
              <w:fldChar w:fldCharType="separate"/>
            </w:r>
            <w:r>
              <w:rPr>
                <w:rFonts w:ascii="Times New Roman" w:hAnsi="Times New Roman" w:eastAsiaTheme="minorEastAsia"/>
                <w:kern w:val="0"/>
                <w:sz w:val="24"/>
                <w:szCs w:val="24"/>
              </w:rPr>
              <w:t>现代信息技术</w:t>
            </w:r>
            <w:r>
              <w:rPr>
                <w:rFonts w:ascii="Times New Roman" w:hAnsi="Times New Roman" w:eastAsiaTheme="minorEastAsia"/>
                <w:kern w:val="0"/>
                <w:sz w:val="24"/>
                <w:szCs w:val="24"/>
              </w:rPr>
              <w:fldChar w:fldCharType="end"/>
            </w:r>
            <w:r>
              <w:rPr>
                <w:rFonts w:ascii="Times New Roman" w:hAnsi="Times New Roman" w:eastAsiaTheme="minorEastAsia"/>
                <w:kern w:val="0"/>
                <w:sz w:val="24"/>
                <w:szCs w:val="24"/>
              </w:rPr>
              <w:t>为支撑，探索现代信息技术与教育的深度融合。推进现代科技与教育的深度融合，搭建终身学习“立交桥”，适应国家经济社会发展和人的全面发展需要，促进终身教育体系建设，促进全民学习、终身学习的学习型社会形成。</w:t>
            </w:r>
          </w:p>
        </w:tc>
      </w:tr>
    </w:tbl>
    <w:p>
      <w:pPr>
        <w:spacing w:line="580" w:lineRule="exact"/>
        <w:rPr>
          <w:rFonts w:ascii="Times New Roman" w:hAnsi="Times New Roman" w:eastAsia="黑体"/>
          <w:bCs/>
          <w:sz w:val="32"/>
          <w:szCs w:val="32"/>
        </w:rPr>
      </w:pPr>
      <w:r>
        <w:rPr>
          <w:rFonts w:ascii="Times New Roman" w:hAnsi="华文楷体" w:eastAsia="华文楷体"/>
          <w:sz w:val="24"/>
          <w:szCs w:val="24"/>
        </w:rPr>
        <w:t>注：专业平均年招生规模</w:t>
      </w:r>
      <w:r>
        <w:rPr>
          <w:rFonts w:ascii="Times New Roman" w:hAnsi="Times New Roman" w:eastAsia="华文楷体"/>
          <w:sz w:val="24"/>
          <w:szCs w:val="24"/>
        </w:rPr>
        <w:t>=</w:t>
      </w:r>
      <w:r>
        <w:rPr>
          <w:rFonts w:ascii="Times New Roman" w:hAnsi="华文楷体" w:eastAsia="华文楷体"/>
          <w:sz w:val="24"/>
          <w:szCs w:val="24"/>
        </w:rPr>
        <w:t>学校年招生数</w:t>
      </w:r>
      <w:r>
        <w:rPr>
          <w:rFonts w:ascii="Times New Roman" w:hAnsi="Times New Roman" w:eastAsia="华文楷体"/>
          <w:sz w:val="24"/>
          <w:szCs w:val="24"/>
        </w:rPr>
        <w:t>÷</w:t>
      </w:r>
      <w:r>
        <w:rPr>
          <w:rFonts w:ascii="Times New Roman" w:hAnsi="华文楷体" w:eastAsia="华文楷体"/>
          <w:sz w:val="24"/>
          <w:szCs w:val="24"/>
        </w:rPr>
        <w:t>学校现有专业总数</w:t>
      </w:r>
      <w:r>
        <w:rPr>
          <w:rFonts w:ascii="Times New Roman" w:hAnsi="Times New Roman" w:eastAsia="黑体"/>
          <w:bCs/>
          <w:sz w:val="32"/>
          <w:szCs w:val="32"/>
        </w:rPr>
        <w:t xml:space="preserve"> </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24"/>
          <w:szCs w:val="24"/>
        </w:rPr>
        <w:br w:type="page"/>
      </w:r>
      <w:r>
        <w:rPr>
          <w:rFonts w:ascii="Times New Roman" w:hAnsi="Times New Roman" w:eastAsia="黑体"/>
          <w:sz w:val="32"/>
          <w:szCs w:val="32"/>
        </w:rPr>
        <w:t>增设专业的理由和基础</w:t>
      </w:r>
    </w:p>
    <w:tbl>
      <w:tblPr>
        <w:tblStyle w:val="9"/>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25" w:hRule="atLeast"/>
          <w:jc w:val="center"/>
        </w:trPr>
        <w:tc>
          <w:tcPr>
            <w:tcW w:w="9000" w:type="dxa"/>
            <w:tcBorders>
              <w:top w:val="single" w:color="auto" w:sz="4" w:space="0"/>
              <w:left w:val="single" w:color="auto" w:sz="4" w:space="0"/>
              <w:bottom w:val="single" w:color="auto" w:sz="4" w:space="0"/>
              <w:right w:val="single" w:color="auto" w:sz="4" w:space="0"/>
            </w:tcBorders>
          </w:tcPr>
          <w:p>
            <w:pPr>
              <w:spacing w:line="580" w:lineRule="exact"/>
              <w:rPr>
                <w:rFonts w:ascii="Times New Roman" w:hAnsi="Times New Roman" w:eastAsia="黑体"/>
                <w:sz w:val="24"/>
                <w:szCs w:val="24"/>
              </w:rPr>
            </w:pPr>
            <w:r>
              <w:rPr>
                <w:rFonts w:ascii="Times New Roman" w:hAnsiTheme="minorEastAsia" w:eastAsiaTheme="minorEastAsia"/>
                <w:sz w:val="24"/>
                <w:szCs w:val="24"/>
              </w:rPr>
              <w:t>（包括申请增设专业的主要理由、专业筹建情况、学校专业发展规划及人才需求预测情况等方面的内容）</w:t>
            </w:r>
          </w:p>
          <w:p>
            <w:pPr>
              <w:spacing w:line="580" w:lineRule="exact"/>
              <w:rPr>
                <w:rFonts w:ascii="Times New Roman" w:hAnsi="Times New Roman" w:eastAsia="黑体"/>
                <w:sz w:val="28"/>
                <w:szCs w:val="24"/>
              </w:rPr>
            </w:pPr>
            <w:r>
              <w:rPr>
                <w:rFonts w:hint="eastAsia" w:ascii="Times New Roman" w:hAnsi="Times New Roman" w:eastAsia="黑体"/>
                <w:sz w:val="28"/>
                <w:szCs w:val="24"/>
              </w:rPr>
              <w:t>一、增设专业主要理由</w:t>
            </w:r>
          </w:p>
          <w:p>
            <w:pPr>
              <w:pStyle w:val="2"/>
              <w:spacing w:line="240" w:lineRule="auto"/>
              <w:rPr>
                <w:rFonts w:ascii="宋体" w:hAnsi="宋体"/>
                <w:sz w:val="24"/>
                <w:szCs w:val="24"/>
              </w:rPr>
            </w:pPr>
            <w:r>
              <w:rPr>
                <w:rFonts w:hint="eastAsia" w:ascii="宋体" w:hAnsi="宋体"/>
                <w:sz w:val="24"/>
                <w:szCs w:val="24"/>
              </w:rPr>
              <w:t>（一）国家发展需要</w:t>
            </w:r>
          </w:p>
          <w:p>
            <w:pPr>
              <w:pStyle w:val="30"/>
              <w:spacing w:line="360" w:lineRule="auto"/>
              <w:ind w:firstLine="480"/>
              <w:rPr>
                <w:rFonts w:hint="eastAsia" w:asciiTheme="minorEastAsia" w:hAnsiTheme="minorEastAsia" w:eastAsiaTheme="minorEastAsia" w:cstheme="minorEastAsia"/>
                <w:color w:val="auto"/>
                <w:sz w:val="24"/>
                <w:szCs w:val="21"/>
              </w:rPr>
            </w:pPr>
            <w:r>
              <w:rPr>
                <w:rFonts w:hint="eastAsia" w:asciiTheme="minorEastAsia" w:hAnsiTheme="minorEastAsia" w:eastAsiaTheme="minorEastAsia" w:cstheme="minorEastAsia"/>
                <w:color w:val="auto"/>
                <w:sz w:val="24"/>
                <w:szCs w:val="21"/>
              </w:rPr>
              <w:t>进入21世纪以来，随着我国经济社会的快速发展，人们的工作和生活方式发生改变，居民身体活动量明显减少，身体活动不足是导致人体死亡的第四独立因素。体育活动已经成为增强国民体质、提高健康水平最积极、最有效、最经济的生活方式。</w:t>
            </w:r>
          </w:p>
          <w:p>
            <w:pPr>
              <w:pStyle w:val="30"/>
              <w:spacing w:line="360" w:lineRule="auto"/>
              <w:ind w:firstLine="482"/>
              <w:rPr>
                <w:rFonts w:ascii="宋体" w:hAnsi="宋体" w:eastAsia="宋体" w:cs="宋体"/>
                <w:b/>
                <w:color w:val="auto"/>
                <w:sz w:val="24"/>
                <w:szCs w:val="24"/>
              </w:rPr>
            </w:pPr>
            <w:r>
              <w:rPr>
                <w:rFonts w:hint="eastAsia" w:ascii="宋体" w:hAnsi="宋体" w:eastAsia="宋体" w:cs="宋体"/>
                <w:b/>
                <w:color w:val="auto"/>
                <w:sz w:val="24"/>
                <w:szCs w:val="24"/>
              </w:rPr>
              <w:t>1.政府高度重视全民健身</w:t>
            </w:r>
          </w:p>
          <w:p>
            <w:pPr>
              <w:pStyle w:val="30"/>
              <w:spacing w:line="360" w:lineRule="auto"/>
              <w:ind w:firstLine="480"/>
              <w:rPr>
                <w:rFonts w:hint="eastAsia" w:asciiTheme="minorEastAsia" w:hAnsiTheme="minorEastAsia" w:eastAsiaTheme="minorEastAsia" w:cstheme="minorEastAsia"/>
                <w:color w:val="auto"/>
                <w:sz w:val="24"/>
                <w:szCs w:val="21"/>
              </w:rPr>
            </w:pPr>
            <w:r>
              <w:rPr>
                <w:rFonts w:hint="eastAsia" w:asciiTheme="minorEastAsia" w:hAnsiTheme="minorEastAsia" w:eastAsiaTheme="minorEastAsia" w:cstheme="minorEastAsia"/>
                <w:color w:val="auto"/>
                <w:sz w:val="24"/>
                <w:szCs w:val="21"/>
              </w:rPr>
              <w:t>我国政府高度重视体育活动在增强体质、提高健康水平中的重要作用，尤其近五年，一系列推动健康中国、全民健身、体育产业发展的文件不断出台（表1）。1995年6月20日，国务院颁布了《全民健身计划纲要》，推行全民健身计划成为中国特色群众体育发展的重要方式，并不断在其后的《体育法》、《全民健身条例》等国家立法中，以及多次在国家发展规划、政府工作报告中得以体现，而且有了2011年之后与国家五年规划同步的全民健身计划新常态。2007年，国务院下发《关于加强青少年体育增强青少年体质的意见》，2014年国家再次印发了《关于加快发展体育产业促进体育消费的若干意见》，把全民健身上升为国家战略，把增强人民体质、提高健康水平作为根本目标。2016年，国务院印发</w:t>
            </w:r>
            <w:r>
              <w:rPr>
                <w:rFonts w:hint="eastAsia" w:asciiTheme="minorEastAsia" w:hAnsiTheme="minorEastAsia" w:eastAsiaTheme="minorEastAsia" w:cstheme="minorEastAsia"/>
                <w:color w:val="000000"/>
                <w:kern w:val="2"/>
                <w:sz w:val="24"/>
                <w:szCs w:val="21"/>
              </w:rPr>
              <w:t>《全民健身计划&lt;2016-2020年&gt;》、</w:t>
            </w:r>
            <w:r>
              <w:rPr>
                <w:rFonts w:hint="eastAsia" w:asciiTheme="minorEastAsia" w:hAnsiTheme="minorEastAsia" w:eastAsiaTheme="minorEastAsia" w:cstheme="minorEastAsia"/>
                <w:color w:val="auto"/>
                <w:sz w:val="24"/>
                <w:szCs w:val="21"/>
              </w:rPr>
              <w:t>《“健康中国2030”规划纲要》，对发展群众体育活动、倡导全民健身新时尚、推进健康中国建设做出了明确部署，2019年，国务院印发具体的《关于实施健康中国行动的意见》，提出通过多种措施，包括全民健身行动来全方位干预健康的影响因素，提升全民身心素质。</w:t>
            </w:r>
          </w:p>
          <w:p>
            <w:pPr>
              <w:pStyle w:val="30"/>
              <w:spacing w:line="360" w:lineRule="auto"/>
              <w:ind w:firstLine="0" w:firstLineChars="0"/>
              <w:jc w:val="center"/>
              <w:rPr>
                <w:rFonts w:ascii="宋体" w:hAnsi="宋体" w:cs="宋体" w:eastAsiaTheme="minorEastAsia"/>
                <w:color w:val="auto"/>
                <w:sz w:val="24"/>
                <w:szCs w:val="24"/>
              </w:rPr>
            </w:pPr>
            <w:r>
              <w:rPr>
                <w:rFonts w:hint="eastAsia" w:ascii="宋体" w:hAnsi="宋体" w:eastAsia="宋体" w:cs="宋体"/>
                <w:color w:val="auto"/>
                <w:sz w:val="24"/>
                <w:szCs w:val="24"/>
              </w:rPr>
              <w:t>表1 2010</w:t>
            </w:r>
            <w:r>
              <w:rPr>
                <w:rFonts w:hint="eastAsia" w:ascii="宋体" w:hAnsi="宋体" w:cs="宋体" w:eastAsiaTheme="minorEastAsia"/>
                <w:color w:val="auto"/>
                <w:sz w:val="24"/>
                <w:szCs w:val="24"/>
              </w:rPr>
              <w:t>年以来政府在体育、健身领域出台的系列文件</w:t>
            </w:r>
          </w:p>
          <w:tbl>
            <w:tblPr>
              <w:tblStyle w:val="9"/>
              <w:tblW w:w="8558" w:type="dxa"/>
              <w:tblInd w:w="93" w:type="dxa"/>
              <w:tblLayout w:type="autofit"/>
              <w:tblCellMar>
                <w:top w:w="0" w:type="dxa"/>
                <w:left w:w="108" w:type="dxa"/>
                <w:bottom w:w="0" w:type="dxa"/>
                <w:right w:w="108" w:type="dxa"/>
              </w:tblCellMar>
            </w:tblPr>
            <w:tblGrid>
              <w:gridCol w:w="1584"/>
              <w:gridCol w:w="2252"/>
              <w:gridCol w:w="4722"/>
            </w:tblGrid>
            <w:tr>
              <w:tblPrEx>
                <w:tblCellMar>
                  <w:top w:w="0" w:type="dxa"/>
                  <w:left w:w="108" w:type="dxa"/>
                  <w:bottom w:w="0" w:type="dxa"/>
                  <w:right w:w="108" w:type="dxa"/>
                </w:tblCellMar>
              </w:tblPrEx>
              <w:trPr>
                <w:trHeight w:val="643" w:hRule="atLeast"/>
              </w:trPr>
              <w:tc>
                <w:tcPr>
                  <w:tcW w:w="1584" w:type="dxa"/>
                  <w:tcBorders>
                    <w:top w:val="single" w:color="auto" w:sz="4" w:space="0"/>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2019年9月</w:t>
                  </w:r>
                </w:p>
              </w:tc>
              <w:tc>
                <w:tcPr>
                  <w:tcW w:w="2252" w:type="dxa"/>
                  <w:tcBorders>
                    <w:top w:val="single" w:color="auto" w:sz="4" w:space="0"/>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国务院办公厅</w:t>
                  </w:r>
                </w:p>
              </w:tc>
              <w:tc>
                <w:tcPr>
                  <w:tcW w:w="4722" w:type="dxa"/>
                  <w:tcBorders>
                    <w:top w:val="single" w:color="auto" w:sz="4" w:space="0"/>
                    <w:left w:val="nil"/>
                    <w:bottom w:val="single" w:color="auto" w:sz="4" w:space="0"/>
                    <w:right w:val="single" w:color="auto" w:sz="4" w:space="0"/>
                  </w:tcBorders>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《关于促进全民健身和体育消费推动体育产业高质量发展的意见》</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2019年8月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国务院办公厅</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《体育强国建设纲要》</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2019年7月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《关于实施健康中国行动的意见》</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2019年7月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卫生健康委</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《健康中国行动（2019—2030年）》</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2019年2月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《2019年群众体育工作要点》</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2018年12月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国务院办公厅</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《关于加快发展体育竞赛表演产业的指导意见》</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2017年11月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《体育标准化管理办法》</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2017年8月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《全民健身指南》</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2016年12月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旅游局、体育总局</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《关于大力发展体育旅游的指导意见》</w:t>
                  </w:r>
                </w:p>
              </w:tc>
            </w:tr>
            <w:tr>
              <w:tblPrEx>
                <w:tblCellMar>
                  <w:top w:w="0" w:type="dxa"/>
                  <w:left w:w="108" w:type="dxa"/>
                  <w:bottom w:w="0" w:type="dxa"/>
                  <w:right w:w="108" w:type="dxa"/>
                </w:tblCellMar>
              </w:tblPrEx>
              <w:trPr>
                <w:trHeight w:val="643"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2016年11月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体育总局、发改委等7部门</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《全国冰雪场地设施建设规划》</w:t>
                  </w:r>
                </w:p>
              </w:tc>
            </w:tr>
            <w:tr>
              <w:tblPrEx>
                <w:tblCellMar>
                  <w:top w:w="0" w:type="dxa"/>
                  <w:left w:w="108" w:type="dxa"/>
                  <w:bottom w:w="0" w:type="dxa"/>
                  <w:right w:w="108" w:type="dxa"/>
                </w:tblCellMar>
              </w:tblPrEx>
              <w:trPr>
                <w:trHeight w:val="643"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2016年11月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体育总局、发改委等4部门</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《冰雪运动发展规划（2013-2025）》</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2016年11月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《群众冬季运动推广普及计划（2016-2020年）》</w:t>
                  </w:r>
                </w:p>
              </w:tc>
            </w:tr>
            <w:tr>
              <w:tblPrEx>
                <w:tblCellMar>
                  <w:top w:w="0" w:type="dxa"/>
                  <w:left w:w="108" w:type="dxa"/>
                  <w:bottom w:w="0" w:type="dxa"/>
                  <w:right w:w="108" w:type="dxa"/>
                </w:tblCellMar>
              </w:tblPrEx>
              <w:trPr>
                <w:trHeight w:val="643"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2016年11月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体育总局、发改委等7部门</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《水上运动产业发展规划》</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2016年11月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《山地户外运动产业发展规划》</w:t>
                  </w:r>
                </w:p>
              </w:tc>
            </w:tr>
            <w:tr>
              <w:tblPrEx>
                <w:tblCellMar>
                  <w:top w:w="0" w:type="dxa"/>
                  <w:left w:w="108" w:type="dxa"/>
                  <w:bottom w:w="0" w:type="dxa"/>
                  <w:right w:w="108" w:type="dxa"/>
                </w:tblCellMar>
              </w:tblPrEx>
              <w:trPr>
                <w:trHeight w:val="643"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2016年11月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体育总局、发改委等9部门</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《航空运动产业发展规划》</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2016年10月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中共中央、国务院</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《“健康中国2030”规划纲要》</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2016年10月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国务院办公厅</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《关于加快发展健身休闲产业的指导意见》</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2016年6月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《全民健身计划&lt;2016-2020年&gt;》</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2016年4月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发改委</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《中国足球中长期发展规划（2016-2050年）》</w:t>
                  </w:r>
                </w:p>
              </w:tc>
            </w:tr>
            <w:tr>
              <w:tblPrEx>
                <w:tblCellMar>
                  <w:top w:w="0" w:type="dxa"/>
                  <w:left w:w="108" w:type="dxa"/>
                  <w:bottom w:w="0" w:type="dxa"/>
                  <w:right w:w="108" w:type="dxa"/>
                </w:tblCellMar>
              </w:tblPrEx>
              <w:trPr>
                <w:trHeight w:val="643"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2015年12月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财政部 国家税务总局</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《关于体育场馆房产税和城镇土地使用税改策的通知》</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2015年2月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国务院办公厅</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《中国足球改革发展总体方案》</w:t>
                  </w:r>
                </w:p>
              </w:tc>
            </w:tr>
            <w:tr>
              <w:tblPrEx>
                <w:tblCellMar>
                  <w:top w:w="0" w:type="dxa"/>
                  <w:left w:w="108" w:type="dxa"/>
                  <w:bottom w:w="0" w:type="dxa"/>
                  <w:right w:w="108" w:type="dxa"/>
                </w:tblCellMar>
              </w:tblPrEx>
              <w:trPr>
                <w:trHeight w:val="643"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2014年10月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《关于加快发展体育展业促进体育消费的若干意见》</w:t>
                  </w:r>
                </w:p>
              </w:tc>
            </w:tr>
            <w:tr>
              <w:tblPrEx>
                <w:tblCellMar>
                  <w:top w:w="0" w:type="dxa"/>
                  <w:left w:w="108" w:type="dxa"/>
                  <w:bottom w:w="0" w:type="dxa"/>
                  <w:right w:w="108" w:type="dxa"/>
                </w:tblCellMar>
              </w:tblPrEx>
              <w:trPr>
                <w:trHeight w:val="643"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2014年9月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发改委、民政部等10部门</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《关于加快推进健康与养老服务工程建设的通知》</w:t>
                  </w:r>
                </w:p>
              </w:tc>
            </w:tr>
            <w:tr>
              <w:tblPrEx>
                <w:tblCellMar>
                  <w:top w:w="0" w:type="dxa"/>
                  <w:left w:w="108" w:type="dxa"/>
                  <w:bottom w:w="0" w:type="dxa"/>
                  <w:right w:w="108" w:type="dxa"/>
                </w:tblCellMar>
              </w:tblPrEx>
              <w:trPr>
                <w:trHeight w:val="32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2012年2月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中足协</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《中国足球之夜联赛管办分离改革方案》</w:t>
                  </w:r>
                </w:p>
              </w:tc>
            </w:tr>
            <w:tr>
              <w:tblPrEx>
                <w:tblCellMar>
                  <w:top w:w="0" w:type="dxa"/>
                  <w:left w:w="108" w:type="dxa"/>
                  <w:bottom w:w="0" w:type="dxa"/>
                  <w:right w:w="108" w:type="dxa"/>
                </w:tblCellMar>
              </w:tblPrEx>
              <w:trPr>
                <w:trHeight w:val="337" w:hRule="atLeast"/>
              </w:trPr>
              <w:tc>
                <w:tcPr>
                  <w:tcW w:w="1584" w:type="dxa"/>
                  <w:tcBorders>
                    <w:top w:val="nil"/>
                    <w:left w:val="single" w:color="auto" w:sz="4" w:space="0"/>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2010年3月</w:t>
                  </w:r>
                </w:p>
              </w:tc>
              <w:tc>
                <w:tcPr>
                  <w:tcW w:w="225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国务院办公厅</w:t>
                  </w:r>
                </w:p>
              </w:tc>
              <w:tc>
                <w:tcPr>
                  <w:tcW w:w="4722" w:type="dxa"/>
                  <w:tcBorders>
                    <w:top w:val="nil"/>
                    <w:left w:val="nil"/>
                    <w:bottom w:val="single" w:color="auto" w:sz="4" w:space="0"/>
                    <w:right w:val="single" w:color="auto" w:sz="4" w:space="0"/>
                  </w:tcBorders>
                  <w:noWrap/>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《关于加快发展体育产业的指导意见》</w:t>
                  </w:r>
                </w:p>
              </w:tc>
            </w:tr>
          </w:tbl>
          <w:p>
            <w:pPr>
              <w:pStyle w:val="30"/>
              <w:spacing w:line="360" w:lineRule="auto"/>
              <w:ind w:firstLine="480"/>
              <w:rPr>
                <w:rFonts w:hint="eastAsia" w:asciiTheme="minorEastAsia" w:hAnsiTheme="minorEastAsia" w:eastAsiaTheme="minorEastAsia" w:cstheme="minorEastAsia"/>
                <w:color w:val="auto"/>
                <w:sz w:val="24"/>
                <w:szCs w:val="21"/>
              </w:rPr>
            </w:pPr>
            <w:r>
              <w:rPr>
                <w:rFonts w:hint="eastAsia" w:asciiTheme="minorEastAsia" w:hAnsiTheme="minorEastAsia" w:eastAsiaTheme="minorEastAsia" w:cstheme="minorEastAsia"/>
                <w:color w:val="auto"/>
                <w:sz w:val="24"/>
                <w:szCs w:val="21"/>
              </w:rPr>
              <w:t>近年来，我国群众体育事业蓬勃发展，各级体育行政部门积极落实，青少年体育工作不断推进，体育活动意识明显增强；全国人均体育场馆面积达1.57平方米，经常参加体育活动的人口比例为33.9%；老年人体育活动形式丰富多彩，生活质量提高。第六次人口普查数据表明，全国人均预期寿命为74.9岁。体育活动成为强身健体重要手段的社会氛围已经形成。但体育活动在增强国民体质、提高健康水平方面的作用尚未充分发挥，距离健康中国的要求还有较大差距。国家相关调查数据显示，虽然我国经常参加体育活动的人口比例逐年增加，但居民超重率和肥胖率也持续增加，青少年耐力、成年人肌肉力量与耐力、老年人肌肉力量等指标的变化并不乐观，心血管病、糖尿病等慢性非传染性疾病的发病率呈上升趋势，体育活动在促进健康领域的诸多研究成果尚未充分应用于实践，多数居民在参加体育活动时有很大的盲目性、需要在从事体育健身活动中得到更加科学的引导。</w:t>
            </w:r>
          </w:p>
          <w:p>
            <w:pPr>
              <w:pStyle w:val="30"/>
              <w:spacing w:line="360" w:lineRule="auto"/>
              <w:ind w:firstLine="482"/>
              <w:rPr>
                <w:rFonts w:ascii="宋体" w:hAnsi="宋体" w:eastAsia="宋体" w:cs="宋体"/>
                <w:b/>
                <w:color w:val="auto"/>
                <w:sz w:val="24"/>
                <w:szCs w:val="24"/>
              </w:rPr>
            </w:pPr>
            <w:r>
              <w:rPr>
                <w:rFonts w:hint="eastAsia" w:ascii="宋体" w:hAnsi="宋体" w:eastAsia="宋体" w:cs="宋体"/>
                <w:b/>
                <w:color w:val="auto"/>
                <w:sz w:val="24"/>
                <w:szCs w:val="24"/>
              </w:rPr>
              <w:t>2.政府不断规范、提升对社会体育指导员的要求</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1986年4月，国家体委下发的《关于体育体制改革的决定(草案)》提出了进一步推进我国体育社会化改革方向和措施，1994年6月4日，原国家体委颁布了《社会体育指导员技术等级制度》，使社会体育指导员培养制度化，以培养合格的社会体育指导力量。2001年8月，随着体育产业的发展，为扩大劳动力市场、增加就业途径、提高社会体育指导员的职业地位和工作质量，国家劳动和社会保障部颁布了《社会体育指导员国家职业标准》，自此我国出现具有劳动职业特点的社会体育指导员。2016年10月《“健康中国2030”规划纲要》提出要通过“加强医疗和体育的结合与非医疗体系的元素来促进全民体质的健康”，对社会体育指导专业人才的培养提出了新的要求，要求“组织社会体育指导员广泛开展全民健身指导服务”、“加强体医融合和非医疗健康干预，建立完善针对不同人群、不同环境、不同身体状况的运动处方库”、“加强科学指导，促进重点人群体育活动”。</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随着我国经济社会的不断发展及国家全民健身战略的实施，我国体育健身、休闲运动产业迎来了良好的发展机遇，具有广阔的发展前景，然而却面临着严重缺少专业人才的困境。</w:t>
            </w:r>
            <w:bookmarkStart w:id="0" w:name="_Toc4599"/>
            <w:bookmarkStart w:id="1" w:name="_Toc306271164"/>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开设社会体育指导与管理专业，为健康中国培养人才是国家发展的需要，是落实国家政策的体现。</w:t>
            </w:r>
            <w:bookmarkEnd w:id="0"/>
            <w:bookmarkEnd w:id="1"/>
          </w:p>
          <w:p>
            <w:pPr>
              <w:pStyle w:val="2"/>
              <w:rPr>
                <w:rFonts w:ascii="宋体" w:hAnsi="宋体"/>
                <w:sz w:val="24"/>
                <w:szCs w:val="24"/>
              </w:rPr>
            </w:pPr>
            <w:r>
              <w:rPr>
                <w:rFonts w:hint="eastAsia" w:ascii="宋体" w:hAnsi="宋体"/>
                <w:sz w:val="24"/>
                <w:szCs w:val="24"/>
              </w:rPr>
              <w:t>（二）社会需求</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随着我国社会的不断发展，科学技术发展迅速，在经济建设上取得了一定的成就，人们的生活质量不断提高，对自身的健康也开始重视起来，全新的生活模式展现在人们眼前。人们开始重新审视生活，追求更高层面的生活质量，享受生活的观念也逐渐确立，休闲娱乐健身项目随之兴起，使人们的生活变得丰富多彩。健身俱乐部、运动场馆等的建立，使得体育人才严重短缺，尤其是懂得经营、管理、组织的复合型人才。</w:t>
            </w:r>
          </w:p>
          <w:p>
            <w:pPr>
              <w:pStyle w:val="30"/>
              <w:spacing w:line="360" w:lineRule="auto"/>
              <w:ind w:firstLine="482"/>
              <w:rPr>
                <w:rFonts w:ascii="宋体" w:hAnsi="宋体" w:eastAsia="宋体" w:cs="宋体"/>
                <w:b/>
                <w:color w:val="auto"/>
                <w:sz w:val="24"/>
                <w:szCs w:val="24"/>
              </w:rPr>
            </w:pPr>
            <w:r>
              <w:rPr>
                <w:rFonts w:hint="eastAsia" w:ascii="宋体" w:hAnsi="宋体" w:eastAsia="宋体" w:cs="宋体"/>
                <w:b/>
                <w:color w:val="auto"/>
                <w:sz w:val="24"/>
                <w:szCs w:val="24"/>
              </w:rPr>
              <w:t>1.市场对体育人才要求日趋多元</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根据调查表明，从2008年的奥运会在北京举行以后，国民对体育健康的重视得到了巨大的改善，社会风气也走向了全民体育的发展，户外运动、登山、游泳、骑行、攀岩甚至蹦极也受到越来越多的群众喜爱，从而增加了社会对社会体育指导与管理专业人才需求。</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随着体育项目的多元化，体育内容也从单一的球类、田径类变成了武术、秧歌、散打、跆拳道、健身操、健身舞、机械健身等内容，无论是俱乐部、健身场所还是活动中心都急切需求复合型人才的引入，这为社会体育指导与管理专业提供了广阔的就业空间。</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根据麦克思研究院发布的《2018年中国大学生就业报告》（就业蓝皮书），社会体育专业在高职高专院校的绿牌专业（失业量小、就业率、薪资和就业满意综合较高）中高居榜首，且自2015届起毕业生就业率呈现逐年上升的态势，这些数据直接反映了群众对健康与身体的重视，市场对社会体育指导与管理人才的迫切需求。</w:t>
            </w:r>
          </w:p>
          <w:p>
            <w:pPr>
              <w:pStyle w:val="30"/>
              <w:spacing w:line="360" w:lineRule="auto"/>
              <w:ind w:firstLine="482"/>
              <w:rPr>
                <w:rFonts w:ascii="宋体" w:hAnsi="宋体" w:eastAsia="宋体" w:cs="宋体"/>
                <w:b/>
                <w:color w:val="auto"/>
                <w:sz w:val="24"/>
                <w:szCs w:val="24"/>
              </w:rPr>
            </w:pPr>
            <w:r>
              <w:rPr>
                <w:rFonts w:hint="eastAsia" w:ascii="宋体" w:hAnsi="宋体" w:eastAsia="宋体" w:cs="宋体"/>
                <w:b/>
                <w:color w:val="auto"/>
                <w:sz w:val="24"/>
                <w:szCs w:val="24"/>
              </w:rPr>
              <w:t>2.休闲体育领域对体育指导与管理人才的潜在需求</w:t>
            </w:r>
          </w:p>
          <w:p>
            <w:pPr>
              <w:pStyle w:val="30"/>
              <w:spacing w:line="360" w:lineRule="auto"/>
              <w:ind w:firstLine="480"/>
              <w:rPr>
                <w:rFonts w:hint="eastAsia" w:asciiTheme="minorEastAsia" w:hAnsiTheme="minorEastAsia" w:eastAsiaTheme="minorEastAsia" w:cstheme="minorEastAsia"/>
                <w:color w:val="auto"/>
                <w:sz w:val="24"/>
                <w:szCs w:val="21"/>
              </w:rPr>
            </w:pPr>
            <w:r>
              <w:rPr>
                <w:rFonts w:hint="eastAsia" w:asciiTheme="minorEastAsia" w:hAnsiTheme="minorEastAsia" w:eastAsiaTheme="minorEastAsia" w:cstheme="minorEastAsia"/>
                <w:color w:val="auto"/>
                <w:sz w:val="24"/>
                <w:szCs w:val="21"/>
              </w:rPr>
              <w:t>随着人们物质生活水平的提高，人们由温饱转向娱乐的视野，形形色色的休闲体育应声而起。此外，人口老龄化进一步加强了对社会体育指导人才的需求。据国家统计局发布的人口数据：截止到2018年末，我国最新的老年人口数据为：60周岁及以上人口24949万人，占总人口的17.9%；65周岁及以上人口16658万人，占总人口的11.9%。老年人群休闲时间相对较多，对健康锻炼需求也更为迫切，尤以近年兴起的社区体育为代表。由《2001年中国群众体育现状调查效果报告》得知，目前我国的城乡居民日常休闲体育活动中经常开展的休闲体育项目主要有：健身健美操、秧歌、交谊舞、广播操和武术，按照百人调查，其占比为健身健美操（52.0%）、秧歌（43.1%）、交谊舞（33.3%）、广播操（23.3%）、武术（44.0%）。但是社会整体对体育锻炼的理解和认识还没有足够到位，如何进行科学锻炼、如何融合休闲体育文化，都急需专业的社会体育指导人才的参与，如社会体育指导员等。</w:t>
            </w:r>
          </w:p>
          <w:p>
            <w:pPr>
              <w:pStyle w:val="30"/>
              <w:spacing w:line="360" w:lineRule="auto"/>
              <w:ind w:firstLine="482"/>
              <w:rPr>
                <w:rFonts w:ascii="宋体" w:hAnsi="宋体" w:eastAsia="宋体" w:cs="宋体"/>
                <w:b/>
                <w:color w:val="auto"/>
                <w:sz w:val="24"/>
                <w:szCs w:val="24"/>
              </w:rPr>
            </w:pPr>
            <w:r>
              <w:rPr>
                <w:rFonts w:hint="eastAsia" w:ascii="宋体" w:hAnsi="宋体" w:eastAsia="宋体" w:cs="宋体"/>
                <w:b/>
                <w:color w:val="auto"/>
                <w:sz w:val="24"/>
                <w:szCs w:val="24"/>
              </w:rPr>
              <w:t>3.学校需求一专多能的体育教育人才</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社会体育指导与管理的人才培养除了满足市场需求，同时还是实现体育教育事业良性循环的关键。据调查显示，近年来，相关教育用人单位越来越重视人才的综合素质、专项技能水平的高低、专业的知识理论掌握程度，以及其他的语言表达能力和组织能力等。整体体育教育人才的需求趋向一专多能。</w:t>
            </w:r>
          </w:p>
          <w:p>
            <w:pPr>
              <w:pStyle w:val="2"/>
              <w:rPr>
                <w:rFonts w:ascii="宋体" w:hAnsi="宋体"/>
                <w:sz w:val="24"/>
                <w:szCs w:val="24"/>
              </w:rPr>
            </w:pPr>
            <w:r>
              <w:rPr>
                <w:rFonts w:hint="eastAsia" w:ascii="宋体" w:hAnsi="宋体"/>
                <w:sz w:val="24"/>
                <w:szCs w:val="24"/>
              </w:rPr>
              <w:t>（三）现有毕业生不能完全契合市场需求，急需培养应用型人才</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我国广大群众对于健康越来越重视，对于运动健身热情高涨。在提高健康意识的同时，人们需要高素质的经过系统专业训练的人才来指导健身运动，这些提高了社会对于社会体育指导与管理专业的毕业生的需求，对毕业生的职业能力要求也随之提高。而当前高校培养的社会体育指导与管理毕业生存在的主要问题是专业知识掌握不牢、专业技能不能熟练运用、适应能力不强等。</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当前社会急需能够快速进入工作状态起到作用的社会体育指导与管理专业毕业生。丰富的知识储备、完备的健身技巧，与人沟通协调的能力、指导能力、实际应用能力和危机处理的能力是社会体育指导与管理专业毕业生必备的；同时还需懂得企划、营销等技巧。</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而现有很多体育类专业毕业生掌握的知识技能落后于时代，不能与时俱进，与社会需求脱节，不能满足社会对本专业的期待和需求，在就业市场上竞争力有限。</w:t>
            </w:r>
          </w:p>
          <w:p>
            <w:pPr>
              <w:spacing w:line="580" w:lineRule="exact"/>
              <w:rPr>
                <w:rFonts w:ascii="Times New Roman" w:hAnsi="Times New Roman" w:eastAsia="黑体"/>
                <w:sz w:val="28"/>
                <w:szCs w:val="24"/>
              </w:rPr>
            </w:pPr>
            <w:r>
              <w:rPr>
                <w:rFonts w:hint="eastAsia" w:ascii="Times New Roman" w:hAnsi="Times New Roman" w:eastAsia="黑体"/>
                <w:sz w:val="28"/>
                <w:szCs w:val="24"/>
              </w:rPr>
              <w:t>二、专业筹建情况</w:t>
            </w:r>
          </w:p>
          <w:p>
            <w:pPr>
              <w:spacing w:line="360" w:lineRule="auto"/>
              <w:ind w:firstLine="482" w:firstLineChars="200"/>
              <w:rPr>
                <w:rFonts w:asciiTheme="minorEastAsia" w:hAnsiTheme="minorEastAsia" w:eastAsiaTheme="minorEastAsia" w:cstheme="minorEastAsia"/>
                <w:b/>
                <w:bCs/>
                <w:sz w:val="24"/>
                <w:szCs w:val="21"/>
              </w:rPr>
            </w:pPr>
            <w:r>
              <w:rPr>
                <w:rFonts w:hint="eastAsia" w:asciiTheme="minorEastAsia" w:hAnsiTheme="minorEastAsia" w:eastAsiaTheme="minorEastAsia" w:cstheme="minorEastAsia"/>
                <w:b/>
                <w:bCs/>
                <w:sz w:val="24"/>
                <w:szCs w:val="21"/>
              </w:rPr>
              <w:t>1.本专业从筹建开始就进行大量的调研工作</w:t>
            </w:r>
          </w:p>
          <w:p>
            <w:pPr>
              <w:spacing w:line="360" w:lineRule="auto"/>
              <w:ind w:firstLine="480" w:firstLineChars="200"/>
              <w:rPr>
                <w:rFonts w:asciiTheme="minorEastAsia" w:hAnsiTheme="minorEastAsia" w:eastAsiaTheme="minorEastAsia" w:cstheme="minorEastAsia"/>
                <w:sz w:val="24"/>
                <w:szCs w:val="21"/>
              </w:rPr>
            </w:pPr>
            <w:r>
              <w:rPr>
                <w:rFonts w:hint="eastAsia" w:asciiTheme="minorEastAsia" w:hAnsiTheme="minorEastAsia" w:eastAsiaTheme="minorEastAsia" w:cstheme="minorEastAsia"/>
                <w:color w:val="auto"/>
                <w:sz w:val="24"/>
                <w:szCs w:val="21"/>
              </w:rPr>
              <w:t>为适应国家体育产业和全民健身事业发展需要，满足各地在职学习者的学习需求，遵循《国家开放大学本科专业设置及管理办法》和《国家开放大学专业设置工作规程》等文件的相关规定，总部启动了社会体育指导与管理专业开设的调研和论证。主要工作包括：在国开系统全国教学会（参会人员为总部、分部、学院和学习中心的教师）与分部、学院、学习中心的老师座谈了解学生的学习需求及对药学本科课程设置的意见和建议；在有关分部如成都实地调研了解分部对开设社会体育类专业的需求；查阅有关普通高校及其网络学院、国家自学考试社会体育指导与管理专业的培养目标、课程设置、教学计划和毕业要求；</w:t>
            </w:r>
            <w:r>
              <w:rPr>
                <w:rFonts w:hint="eastAsia" w:asciiTheme="minorEastAsia" w:hAnsiTheme="minorEastAsia" w:eastAsiaTheme="minorEastAsia" w:cstheme="minorEastAsia"/>
                <w:sz w:val="24"/>
                <w:szCs w:val="21"/>
              </w:rPr>
              <w:t>走访了各地多所具有代表性的体育院校，与体育院校、以及产业领域专家开展座谈、交流等多种方式，如北京体育大学、首都体育学院、成都体育学院、西安体育学院、武汉体育学院，掌握了体育院校中对学生的培养方案及学生就业情况，对当前就业市场上社会体育指导与管理人才供需状况、企业人才需求情况等方面进行了较为综合全面的调研。</w:t>
            </w:r>
          </w:p>
          <w:p>
            <w:pPr>
              <w:spacing w:line="360" w:lineRule="auto"/>
              <w:ind w:firstLine="482" w:firstLineChars="200"/>
              <w:rPr>
                <w:rFonts w:asciiTheme="minorEastAsia" w:hAnsiTheme="minorEastAsia" w:eastAsiaTheme="minorEastAsia" w:cstheme="minorEastAsia"/>
                <w:b/>
                <w:bCs/>
                <w:sz w:val="24"/>
                <w:szCs w:val="21"/>
              </w:rPr>
            </w:pPr>
            <w:r>
              <w:rPr>
                <w:rFonts w:hint="eastAsia" w:asciiTheme="minorEastAsia" w:hAnsiTheme="minorEastAsia" w:eastAsiaTheme="minorEastAsia" w:cstheme="minorEastAsia"/>
                <w:b/>
                <w:bCs/>
                <w:sz w:val="24"/>
                <w:szCs w:val="21"/>
              </w:rPr>
              <w:t>2.制定及研讨人才培养方案</w:t>
            </w:r>
          </w:p>
          <w:p>
            <w:pPr>
              <w:spacing w:line="360" w:lineRule="auto"/>
              <w:ind w:firstLine="480"/>
              <w:rPr>
                <w:rFonts w:asciiTheme="minorEastAsia" w:hAnsiTheme="minorEastAsia" w:eastAsiaTheme="minorEastAsia" w:cstheme="minorEastAsia"/>
                <w:b/>
                <w:bCs/>
                <w:sz w:val="24"/>
                <w:szCs w:val="21"/>
              </w:rPr>
            </w:pPr>
            <w:r>
              <w:rPr>
                <w:rFonts w:hint="eastAsia" w:asciiTheme="minorEastAsia" w:hAnsiTheme="minorEastAsia" w:eastAsiaTheme="minorEastAsia" w:cstheme="minorEastAsia"/>
                <w:color w:val="auto"/>
                <w:sz w:val="24"/>
                <w:szCs w:val="21"/>
              </w:rPr>
              <w:t>在充分调研并贯彻落实全国教育大会、全国高校思想政治工作会议精神及立德树人根本任务基础上，依据国家开放大学“面向基层、面向行业、面向农村、面向边远和民族地区，培养应用型人才为主”的办学方向，并结合在职学习者的特点和学习基础，依据《普通高等学校本科专业类教学质量国家标准》等相关文件，编制“社会体育指导与管理专业人才培养方案”并组织了北京体育大学、首都体育学院、武汉体育学院、四川大学体育学院及国家开放大学的有关专家进行研讨。经反复修改，提交国</w:t>
            </w:r>
            <w:r>
              <w:rPr>
                <w:rFonts w:hint="eastAsia" w:ascii="Times New Roman" w:hAnsi="Times New Roman"/>
                <w:color w:val="000000"/>
                <w:sz w:val="24"/>
                <w:szCs w:val="24"/>
              </w:rPr>
              <w:t>家开放大学教务部组织专家审定。</w:t>
            </w:r>
          </w:p>
          <w:p>
            <w:pPr>
              <w:spacing w:line="360" w:lineRule="auto"/>
              <w:ind w:firstLine="482" w:firstLineChars="200"/>
              <w:rPr>
                <w:rFonts w:ascii="仿宋" w:hAnsi="仿宋" w:eastAsia="仿宋" w:cs="Tahoma"/>
                <w:b/>
                <w:color w:val="FF0000"/>
                <w:kern w:val="0"/>
                <w:sz w:val="32"/>
                <w:szCs w:val="24"/>
              </w:rPr>
            </w:pPr>
            <w:r>
              <w:rPr>
                <w:rFonts w:hint="eastAsia" w:asciiTheme="minorEastAsia" w:hAnsiTheme="minorEastAsia" w:eastAsiaTheme="minorEastAsia" w:cstheme="minorEastAsia"/>
                <w:b/>
                <w:bCs/>
                <w:sz w:val="24"/>
                <w:szCs w:val="21"/>
              </w:rPr>
              <w:t>3.整合优势资源，建立专、兼结合的师资队伍</w:t>
            </w:r>
          </w:p>
          <w:p>
            <w:pPr>
              <w:spacing w:line="420" w:lineRule="exact"/>
              <w:ind w:firstLine="420"/>
              <w:rPr>
                <w:rFonts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加强与各地体育院校、机构等的联系，将学校和机构等的优秀学者、专家引入到专业和课程建设中。聘请领域专业的领军人员，组建专家团队。充分发挥体系办学优势，与分部以合作共建专业的方式整合各地的优势办学资源，包括人才、教材及其他课程资源。</w:t>
            </w:r>
          </w:p>
          <w:p>
            <w:pPr>
              <w:spacing w:line="360" w:lineRule="auto"/>
              <w:ind w:firstLine="480" w:firstLineChars="200"/>
              <w:rPr>
                <w:rFonts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建立一支较强的专兼结合的师资团队。本教学团队的所有专职教师全为硕士以上学历（含硕士），教授、副教授、讲师的比例适中，师资团队的梯队优势明显。</w:t>
            </w:r>
          </w:p>
          <w:p>
            <w:pPr>
              <w:spacing w:line="360" w:lineRule="auto"/>
              <w:ind w:firstLine="482" w:firstLineChars="200"/>
              <w:rPr>
                <w:rFonts w:asciiTheme="minorEastAsia" w:hAnsiTheme="minorEastAsia" w:eastAsiaTheme="minorEastAsia" w:cstheme="minorEastAsia"/>
                <w:b/>
                <w:bCs/>
                <w:sz w:val="24"/>
                <w:szCs w:val="21"/>
              </w:rPr>
            </w:pPr>
            <w:r>
              <w:rPr>
                <w:rFonts w:hint="eastAsia" w:asciiTheme="minorEastAsia" w:hAnsiTheme="minorEastAsia" w:eastAsiaTheme="minorEastAsia" w:cstheme="minorEastAsia"/>
                <w:b/>
                <w:bCs/>
                <w:sz w:val="24"/>
                <w:szCs w:val="21"/>
              </w:rPr>
              <w:t>4.稳定的实习实训基地</w:t>
            </w:r>
          </w:p>
          <w:p>
            <w:pPr>
              <w:spacing w:line="360" w:lineRule="auto"/>
              <w:ind w:firstLine="480" w:firstLineChars="200"/>
              <w:rPr>
                <w:rFonts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多所分部与当地相关单位开展合作，建立起校外实训基地，包含企事业单位、学校、培训机构等，为专业的开设与教学开展提供良好的专业师资及实践环节的支持。如各地的体育主管部门；建立起合作关系的体育院校，如首都体育学院、成都体育学院、西安体育学院、武汉体育学院、四川大学体育学院等；以及体育领域中的优秀企业如赛普体育等。</w:t>
            </w:r>
          </w:p>
          <w:p>
            <w:pPr>
              <w:spacing w:line="580" w:lineRule="exact"/>
              <w:rPr>
                <w:rFonts w:asciiTheme="minorEastAsia" w:hAnsiTheme="minorEastAsia"/>
                <w:sz w:val="28"/>
                <w:szCs w:val="24"/>
              </w:rPr>
            </w:pPr>
            <w:r>
              <w:rPr>
                <w:rFonts w:hint="eastAsia" w:ascii="Times New Roman" w:hAnsi="Times New Roman" w:eastAsia="黑体"/>
                <w:sz w:val="28"/>
                <w:szCs w:val="24"/>
              </w:rPr>
              <w:t>三、学校专业发展规划</w:t>
            </w:r>
          </w:p>
          <w:p>
            <w:pPr>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本专业面向国家需要和社会需要，为健康与体育指导领域输出专业人才。</w:t>
            </w:r>
          </w:p>
          <w:p>
            <w:pPr>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在专业建设实施中，通过“学分认证”，实现学历与非学历教育相融合，打通学历教育和非学历的培训之间的通道，实现学历教育与社会培训的沟通与衔接，搭建终身学习的“立交桥”，积极建设有竞争力的课程资源，并向社会开放，积极实践开放教育和终身学习的理念。</w:t>
            </w:r>
          </w:p>
          <w:p>
            <w:pPr>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体现移动学习和泛在学习。在教学中努力实现远程教育方法、理论、技术的有效结合，将泛在教育的理念引入课程建设之中，体现处处、时时学习理念。充分发挥新媒体的技术优势和便捷性优势，针对部分专业课程，开发适合手机、平板等需要的模块化移动学习课件，提高内容接受的灵活性和便捷性。</w:t>
            </w:r>
          </w:p>
          <w:p>
            <w:pPr>
              <w:spacing w:line="360" w:lineRule="auto"/>
              <w:ind w:firstLine="480" w:firstLineChars="200"/>
              <w:rPr>
                <w:rFonts w:hint="eastAsia" w:asciiTheme="minorEastAsia" w:hAnsiTheme="minorEastAsia" w:eastAsiaTheme="minorEastAsia" w:cstheme="minorEastAsia"/>
                <w:color w:val="auto"/>
                <w:kern w:val="2"/>
                <w:sz w:val="24"/>
                <w:szCs w:val="21"/>
              </w:rPr>
            </w:pPr>
            <w:r>
              <w:rPr>
                <w:rFonts w:hint="eastAsia" w:asciiTheme="minorEastAsia" w:hAnsiTheme="minorEastAsia" w:eastAsiaTheme="minorEastAsia" w:cstheme="minorEastAsia"/>
                <w:sz w:val="24"/>
                <w:szCs w:val="21"/>
              </w:rPr>
              <w:t>社会体育指导与管理专业（本科）在申报过程中一直得到了各级领导、校内相关部门的大力支持和通力协助，经过多次的相互交流和沟通，形成了专业建设思路和培养方案，根据上面的分析与论证，开设社会体育指导与管理专业（本科）的条件已具备、时机已成熟。</w:t>
            </w:r>
          </w:p>
          <w:p>
            <w:pPr>
              <w:spacing w:line="580" w:lineRule="exact"/>
              <w:rPr>
                <w:rFonts w:ascii="Times New Roman" w:hAnsi="Times New Roman" w:eastAsia="黑体"/>
                <w:sz w:val="28"/>
                <w:szCs w:val="24"/>
              </w:rPr>
            </w:pPr>
            <w:r>
              <w:rPr>
                <w:rFonts w:hint="eastAsia" w:ascii="Times New Roman" w:hAnsi="Times New Roman" w:eastAsia="黑体"/>
                <w:sz w:val="28"/>
                <w:szCs w:val="24"/>
              </w:rPr>
              <w:t>四、人才需求预测</w:t>
            </w:r>
          </w:p>
          <w:p>
            <w:pPr>
              <w:adjustRightInd w:val="0"/>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1.就业数据与社会需求的导向性</w:t>
            </w:r>
          </w:p>
          <w:p>
            <w:pPr>
              <w:adjustRightInd w:val="0"/>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社会需求具有一定的导向性，根据麦克思研究院连续两年的就业蓝皮书显示（《2018年中国大学生就业报告》、《2019年中国大学生就业报告》），自2015届起高职高专院校的社会体育专业毕业生就业率呈现逐年上升的态势，并成为失业量较小，就业率、月收入和就业满意度综合较高的需求增长型专业，这直接反映了群众对健康与身体的重视，市场对社会体育指导与管理人才的迫切需求。就目前分析来看，这些需求主要体现在以下六个方面。</w:t>
            </w:r>
          </w:p>
          <w:p>
            <w:pPr>
              <w:adjustRightInd/>
              <w:spacing w:line="360" w:lineRule="auto"/>
              <w:ind w:left="0"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（1）随着国务院将全民健身上升为国家战略，我国体育健身俱乐部的数量和规模都有大幅提高，城市居民用于个人健身的消费每年以30%的速度递增，明显高于全球20%的平均速度。</w:t>
            </w:r>
          </w:p>
          <w:p>
            <w:pPr>
              <w:adjustRightInd/>
              <w:spacing w:line="360" w:lineRule="auto"/>
              <w:ind w:left="0"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（2）健身俱乐部的运营管理逐步进入合理发展状态，在健身教练员、俱乐部运营管理人才方面具有十分可观的市场需求；</w:t>
            </w:r>
          </w:p>
          <w:p>
            <w:pPr>
              <w:adjustRightInd/>
              <w:spacing w:line="360" w:lineRule="auto"/>
              <w:ind w:left="0"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（3）结合当今社会亚健康人群、老龄化人群增多现象，社区体育指导、体育养生保健方面的需求空间将逐渐扩大；</w:t>
            </w:r>
          </w:p>
          <w:p>
            <w:pPr>
              <w:adjustRightInd/>
              <w:spacing w:line="360" w:lineRule="auto"/>
              <w:ind w:left="0"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（4）相关体育产业开发也需要社会体育指导与管理人才；</w:t>
            </w:r>
          </w:p>
          <w:p>
            <w:pPr>
              <w:adjustRightInd/>
              <w:spacing w:line="360" w:lineRule="auto"/>
              <w:ind w:left="0"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（5）体育教育部门、体育行政管理部门等人才需求；</w:t>
            </w:r>
          </w:p>
          <w:p>
            <w:pPr>
              <w:adjustRightInd/>
              <w:spacing w:line="360" w:lineRule="auto"/>
              <w:ind w:left="0"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（6）居民健康体育意识的提升，休闲体育活动的开展与指导也是社会体育指导与管理人才的一块潜在需求。</w:t>
            </w:r>
          </w:p>
          <w:p>
            <w:pPr>
              <w:adjustRightInd w:val="0"/>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2.生源定位</w:t>
            </w:r>
          </w:p>
          <w:p>
            <w:pPr>
              <w:adjustRightInd w:val="0"/>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1）各级体育局、体育运动学校、非政府组织等与社会体育工作有关的部门管理人员：这部分目标生源相当部分已经具备相体育运动的技能，符合岗位要求的学历，因此可以从上岗证书或资格证书培训作为突破口，提供与工作实际、职业发展紧密结合的课程带动第二学历的开拓。</w:t>
            </w:r>
          </w:p>
          <w:p>
            <w:pPr>
              <w:adjustRightInd w:val="0"/>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2）社区、俱乐部、以及体育运动场馆以体育服务与管理为主的机构的工作人员：这部分目标生源相对学历水平不高，有一定的专业技术水平，因此可以通过系统的学历教育使其取得该专业的学历，并且同时以上岗证书和相关的资格证书培训作为突破口提供与工作实际、职业发展紧密结合的课程带动第二学历的开拓。</w:t>
            </w:r>
          </w:p>
          <w:p>
            <w:pPr>
              <w:adjustRightInd w:val="0"/>
              <w:spacing w:line="360" w:lineRule="auto"/>
              <w:ind w:firstLine="480" w:firstLineChars="200"/>
              <w:rPr>
                <w:rFonts w:hint="eastAsia" w:asciiTheme="minorEastAsia" w:hAnsiTheme="minorEastAsia" w:eastAsiaTheme="minorEastAsia" w:cstheme="minorEastAsia"/>
                <w:sz w:val="24"/>
                <w:szCs w:val="21"/>
              </w:rPr>
            </w:pPr>
            <w:r>
              <w:rPr>
                <w:rFonts w:hint="eastAsia" w:asciiTheme="minorEastAsia" w:hAnsiTheme="minorEastAsia" w:eastAsiaTheme="minorEastAsia" w:cstheme="minorEastAsia"/>
                <w:sz w:val="24"/>
                <w:szCs w:val="21"/>
              </w:rPr>
              <w:t>（3）将来有志于在体育产业、体育服务业、健身俱乐部、社会团体、企事业单位从事体育健身指导与管理的现役运动员以及退役运动员：针对这部分目标生源主要从系统的学历教育入手，夯实社会体育专业的基本理论以及提高大众健身指导、运动损伤防护等实际操作能力，同时更要进行相应的资格证书的培训，更好的适应以后的实际工作，与职业发展密切结合，培养其成为更好为社会体育服务的高素质人才。</w:t>
            </w:r>
          </w:p>
          <w:p>
            <w:pPr>
              <w:adjustRightInd w:val="0"/>
              <w:spacing w:line="360" w:lineRule="auto"/>
              <w:ind w:firstLine="480" w:firstLineChars="200"/>
              <w:rPr>
                <w:rFonts w:ascii="Times New Roman" w:hAnsi="Times New Roman" w:eastAsia="黑体"/>
                <w:sz w:val="24"/>
                <w:szCs w:val="24"/>
              </w:rPr>
            </w:pPr>
            <w:r>
              <w:rPr>
                <w:rFonts w:hint="eastAsia" w:asciiTheme="minorEastAsia" w:hAnsiTheme="minorEastAsia" w:eastAsiaTheme="minorEastAsia" w:cstheme="minorEastAsia"/>
                <w:sz w:val="24"/>
                <w:szCs w:val="21"/>
              </w:rPr>
              <w:t>（4）爱好体育运动的市民：在《全民健身计划》的倡导下，群众体育运动蓬勃发展，群众科学健身的需求大增，社区民众的科学健身知识有待提高，有较为可观的学习需求。</w:t>
            </w:r>
          </w:p>
        </w:tc>
      </w:tr>
    </w:tbl>
    <w:p>
      <w:pPr>
        <w:spacing w:after="156" w:afterLines="50" w:line="580" w:lineRule="exact"/>
        <w:jc w:val="center"/>
        <w:rPr>
          <w:rFonts w:ascii="Times New Roman" w:hAnsi="Times New Roman" w:eastAsia="黑体"/>
          <w:bCs/>
          <w:spacing w:val="20"/>
          <w:sz w:val="44"/>
          <w:szCs w:val="24"/>
        </w:rPr>
      </w:pPr>
      <w:r>
        <w:rPr>
          <w:rFonts w:ascii="Times New Roman" w:hAnsi="Times New Roman"/>
          <w:b/>
          <w:bCs/>
          <w:sz w:val="32"/>
          <w:szCs w:val="24"/>
        </w:rPr>
        <w:br w:type="page"/>
      </w:r>
      <w:r>
        <w:rPr>
          <w:rFonts w:ascii="Times New Roman" w:hAnsi="Times New Roman" w:eastAsia="黑体"/>
          <w:bCs/>
          <w:sz w:val="32"/>
          <w:szCs w:val="24"/>
        </w:rPr>
        <w:t>增设专业人才培养方案</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3" w:hRule="atLeast"/>
          <w:jc w:val="center"/>
        </w:trPr>
        <w:tc>
          <w:tcPr>
            <w:tcW w:w="8820" w:type="dxa"/>
            <w:tcBorders>
              <w:top w:val="single" w:color="auto" w:sz="4" w:space="0"/>
              <w:left w:val="single" w:color="auto" w:sz="4" w:space="0"/>
              <w:bottom w:val="single" w:color="auto" w:sz="4" w:space="0"/>
              <w:right w:val="single" w:color="auto" w:sz="4" w:space="0"/>
            </w:tcBorders>
          </w:tcPr>
          <w:p>
            <w:pPr>
              <w:spacing w:line="420" w:lineRule="exac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包括培养目标、基本要求（素质要求、能力要求、知识结构要求）、修业年限、主干学科、主要课程、主要实践性教学环节和主要专业实验、</w:t>
            </w:r>
            <w:r>
              <w:rPr>
                <w:rFonts w:hint="eastAsia" w:asciiTheme="minorEastAsia" w:hAnsiTheme="minorEastAsia" w:eastAsiaTheme="minorEastAsia" w:cstheme="minorEastAsia"/>
                <w:bCs/>
                <w:sz w:val="24"/>
                <w:szCs w:val="24"/>
              </w:rPr>
              <w:t>教学计划等内容</w:t>
            </w:r>
          </w:p>
          <w:p>
            <w:pPr>
              <w:spacing w:line="420" w:lineRule="exact"/>
              <w:rPr>
                <w:rFonts w:hint="eastAsia" w:asciiTheme="minorEastAsia" w:hAnsiTheme="minorEastAsia" w:eastAsiaTheme="minorEastAsia" w:cstheme="minorEastAsia"/>
                <w:bCs/>
                <w:sz w:val="24"/>
                <w:szCs w:val="24"/>
              </w:rPr>
            </w:pP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一、专业名称及层次</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专业名称：社会体育指导与管理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专业层次：本科（专科起点）</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所属学科门类：教育学</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二、入学要求</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具有国民教育系列相同或相近专业高等专科（含专科）以上学历者。</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三、培养目标</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本专业</w:t>
            </w:r>
            <w:r>
              <w:rPr>
                <w:rFonts w:hint="eastAsia" w:asciiTheme="minorEastAsia" w:hAnsiTheme="minorEastAsia" w:eastAsiaTheme="minorEastAsia" w:cstheme="minorEastAsia"/>
                <w:sz w:val="24"/>
                <w:szCs w:val="24"/>
              </w:rPr>
              <w:t>以习近平新时代中国特色社会主义思想为指导，坚持立德树人的根本任务，培养具备良好的体魄与健康的精神、以提高大众健康为己任、以促进全民运动为目标、德智体美劳全面发展的高素质社会主义建设者和接班人。</w:t>
            </w:r>
            <w:bookmarkStart w:id="9" w:name="_GoBack"/>
            <w:bookmarkEnd w:id="9"/>
            <w:r>
              <w:rPr>
                <w:rFonts w:hint="eastAsia" w:asciiTheme="minorEastAsia" w:hAnsiTheme="minorEastAsia" w:eastAsiaTheme="minorEastAsia" w:cstheme="minorEastAsia"/>
                <w:sz w:val="24"/>
                <w:szCs w:val="24"/>
              </w:rPr>
              <w:t>通过本专业的学习，学习者能够掌握社会体育方面基础理论、基本知识、基本技能、方法及其相关知识，熟悉国家有关社会体育活动的方针、政策和法规，具备较强的实践能力，成为能在企事业、社区、体育管理部门和各类体育组织中从事大众健身咨询、技术指导、组织管理等方面工作的应用型人才。</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学位目标：教育学学士学位。</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四、培养规格</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（1）修业年限：2.5年，学籍8年有效。</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（2）学习形式：开放教育</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（3）总学时学分：1296学时，72学分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（4）人才培养知识、能力和素质要求</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本专业学生主要学习社会体育指导与管理方面的基本理论和知识，接受社会体育活动相关运动技术与技能的基本训练，掌握从事社会体育活动的基本能力。</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毕业生应获得如下几方面</w:t>
            </w:r>
            <w:r>
              <w:rPr>
                <w:rFonts w:hint="eastAsia" w:asciiTheme="minorEastAsia" w:hAnsiTheme="minorEastAsia" w:eastAsiaTheme="minorEastAsia" w:cstheme="minorEastAsia"/>
                <w:sz w:val="24"/>
                <w:szCs w:val="24"/>
                <w:lang w:eastAsia="zh-CN"/>
              </w:rPr>
              <w:t>素质、</w:t>
            </w:r>
            <w:r>
              <w:rPr>
                <w:rFonts w:hint="eastAsia" w:asciiTheme="minorEastAsia" w:hAnsiTheme="minorEastAsia" w:eastAsiaTheme="minorEastAsia" w:cstheme="minorEastAsia"/>
                <w:sz w:val="24"/>
                <w:szCs w:val="24"/>
              </w:rPr>
              <w:t>知识和能力：</w:t>
            </w:r>
          </w:p>
          <w:p>
            <w:pPr>
              <w:spacing w:line="360" w:lineRule="auto"/>
              <w:ind w:firstLine="480" w:firstLineChars="200"/>
              <w:rPr>
                <w:rFonts w:hint="eastAsia" w:asciiTheme="minorEastAsia" w:hAnsiTheme="minorEastAsia" w:eastAsiaTheme="minorEastAsia" w:cstheme="minorEastAsia"/>
                <w:sz w:val="24"/>
                <w:szCs w:val="24"/>
              </w:rPr>
            </w:pPr>
            <w:bookmarkStart w:id="2" w:name="_Toc339625090"/>
            <w:bookmarkStart w:id="3" w:name="_Toc339625088"/>
            <w:r>
              <w:rPr>
                <w:rFonts w:hint="eastAsia" w:asciiTheme="minorEastAsia" w:hAnsiTheme="minorEastAsia" w:eastAsiaTheme="minorEastAsia" w:cstheme="minorEastAsia"/>
                <w:sz w:val="24"/>
                <w:szCs w:val="24"/>
              </w:rPr>
              <w:t>1．素质要求</w:t>
            </w:r>
            <w:bookmarkEnd w:id="2"/>
            <w:r>
              <w:rPr>
                <w:rFonts w:hint="eastAsia" w:asciiTheme="minorEastAsia" w:hAnsiTheme="minorEastAsia" w:eastAsiaTheme="minorEastAsia" w:cstheme="minorEastAsia"/>
                <w:sz w:val="24"/>
                <w:szCs w:val="24"/>
              </w:rPr>
              <w:t xml:space="preserve"> </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思想品德素质：热爱祖国，遵纪守法，具有良好的思想品德、社会公德和职业道德。</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身心素质：具有良好的身体素质和心理素质。</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文化素质：具有良好的文化修养。</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知识要求</w:t>
            </w:r>
            <w:bookmarkEnd w:id="3"/>
            <w:r>
              <w:rPr>
                <w:rFonts w:hint="eastAsia" w:asciiTheme="minorEastAsia" w:hAnsiTheme="minorEastAsia" w:eastAsiaTheme="minorEastAsia" w:cstheme="minorEastAsia"/>
                <w:sz w:val="24"/>
                <w:szCs w:val="24"/>
              </w:rPr>
              <w:t xml:space="preserve"> </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具备基本人文社会科学基础理论和基本素养，掌握管理学、体育学、社会学等相关领域基础理论和基础知识；</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掌握基本的外语知识；</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熟练掌握计算机和网络使用、信息检索的知识。</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掌握社会体育指导与管理所需的社会体育学、社区体育、体育管理等的基本理论和基本知识；</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掌握体育健身运动项目的技术及指导方法；</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熟悉国家有关社会体育活动的方针、政策和法规；</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了解社会体育活动的理论前沿和社会需求。</w:t>
            </w:r>
          </w:p>
          <w:p>
            <w:pPr>
              <w:spacing w:line="360" w:lineRule="auto"/>
              <w:ind w:firstLine="480" w:firstLineChars="200"/>
              <w:rPr>
                <w:rFonts w:hint="eastAsia" w:asciiTheme="minorEastAsia" w:hAnsiTheme="minorEastAsia" w:eastAsiaTheme="minorEastAsia" w:cstheme="minorEastAsia"/>
                <w:sz w:val="24"/>
                <w:szCs w:val="24"/>
              </w:rPr>
            </w:pPr>
            <w:bookmarkStart w:id="4" w:name="_Toc339625089"/>
            <w:bookmarkStart w:id="5" w:name="_Toc341017169"/>
            <w:bookmarkStart w:id="6" w:name="_Toc341017232"/>
            <w:r>
              <w:rPr>
                <w:rFonts w:hint="eastAsia" w:asciiTheme="minorEastAsia" w:hAnsiTheme="minorEastAsia" w:eastAsiaTheme="minorEastAsia" w:cstheme="minorEastAsia"/>
                <w:sz w:val="24"/>
                <w:szCs w:val="24"/>
              </w:rPr>
              <w:t>3. 能力要求</w:t>
            </w:r>
            <w:bookmarkEnd w:id="4"/>
            <w:bookmarkEnd w:id="5"/>
            <w:bookmarkEnd w:id="6"/>
            <w:r>
              <w:rPr>
                <w:rFonts w:hint="eastAsia" w:asciiTheme="minorEastAsia" w:hAnsiTheme="minorEastAsia" w:eastAsiaTheme="minorEastAsia" w:cstheme="minorEastAsia"/>
                <w:sz w:val="24"/>
                <w:szCs w:val="24"/>
              </w:rPr>
              <w:t xml:space="preserve"> </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能理解并执行党和国家有关体育、健康方面的方针政策、法律法规能力；</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具有从事社会体育活动的咨询、技术指导、组织管理、健身指导、社会调查的基本能力；</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具有一定从事社会体育活动科学研究和实际工作的能力；</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具备科学的思维方式、良好的逻辑思维能力、较强的人际沟通和表达能力；</w:t>
            </w:r>
          </w:p>
          <w:p>
            <w:pPr>
              <w:pStyle w:val="18"/>
              <w:numPr>
                <w:ilvl w:val="0"/>
                <w:numId w:val="1"/>
              </w:numPr>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能充分利用现代信息手段、网络资源自主学习，具备独立获取知识、提出问题、分析问题和解决问题的基本能力。</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五、课程体系说明</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（一）模块设置</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本专业共设置9个模块，分别是公共基础课、思想政治课、专业基础课、专业课、专业拓展课、通识课、综合实践、公共英语课、补修课。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1．公共基础课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该模块最低总部考试学分为5学分，模块最低设置学分为12学分。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（1）统设必修课：国家开放大学学习指南、计算机应用基础（本）。</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（2）选修课：学位论文指南、学位外语等。</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2．思想政治课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该模块最低总部考试学分为8学分，模块最低设置学分为10学分。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统设必修课：习近平新时代中国特色社会主义思想、中国近现代史纲要、马克思主义基本原理概论。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统设选修课：民族理论与民族政策。</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3．专业基础课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该模块最低总部考试学分为9学分，模块最低设置学分为19学分。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统设必修课：社会体育概论、社区体育导论、体育社会学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4．专业课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该模块最低总部考试学分为18学分，模块最低设置学分为29学分。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（1）统设必修课：运动项目理论与实践、体育俱乐部管理、健康评价与运动处方、运动解剖学、运动生理学、体育保健学。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（2）选修课：体育科研方法、运动损伤防护及康复、体适能评价、运动心理学、体育营养学、运动竞赛学。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5．专业拓展课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该模块最低总部考试学分为0学分，模块最低设置学分为12学分。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拓展课可从如下课程中选修：通识理论类，如社会心理学、营销心理学、体育设施与管理、体育课程与教学论；运动技术类，如体育舞蹈、田径、篮球、排球、足球、羽毛球、乒乓球、健身操、瑜伽、游泳与救生、跆拳道、户外运动基础、太极与养生；健身运动类，如健身教练、健身房有氧训练、健身房阻抗训练、健康促进与体重控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6．通识课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开总部设置统一的通识课程平台，所有开放教育专业适用此平台的课程；通识课模块毕业最低学分为2学分；通识课设置及通识教育是国家开放大学人才培养的特色之一，是实施素质教育的具体措施，通识课模块课程不得免修免考；已取得电大毕业证书的学生，若再次注册学习国家开放大学相关专业，原修专业已注册过的通识课程，在新修专业中不得再次注册学习（在教务管理系统中此类课程将不能实现注册）和申请办理课程免修免考，此模块毕业最低学分通过修读本模块的其他通识课程获得。</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统设必修课：形势与政策</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7．综合实践</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本专业综合实践包括社会体育指导与管理专业实践和毕业论文，统设必修，共8学分，由分部根据总部制定的实践环节教学大纲组织实施。该环节不得免修。</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8．公共英语课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该模块国开总部考试最低学分为6学分，模块设置最低学分为</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建议本专业学习管理英语3、4或商务英语3、4。</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9．补修课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补修课程是指在注册开放教育本科 （专科起点）专业学习的学生中，部分不具备该专业专科学历或不具备学习该专业相关基础知识的学生必须补修的课程。补修课程学分是按规定需要补修的学生必修的学分和毕业审核的必要条件。补修课程统一使用国家开放大学确定的课程名称，执行统一的教学大纲或教学要求，并由国家开放大学总部推荐教材、提供相关教学支持服务。本专业 （方向）需补修的课程是：管理学原理（2学分）、体育管理学（2学分）、体育市场营销（3学分），共计7学分。</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（二）学分转换规则</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部分课程与职业资格证书的培训内容有密切关联，学习这些课程有助于学生申请社会体育指导员职业资格证书/游泳救生员等职业资格证书。已获得相应职业资格证书可申请学分认定免修、免考对应课程。具体对应转换规则见表1。</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已接受相关技能等级证书培训，可申请学分认定免修对应课程，但不免考。具体对应转换规则见表2。</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表1  相关职业资格证书一览表</w:t>
            </w:r>
          </w:p>
          <w:tbl>
            <w:tblPr>
              <w:tblStyle w:val="9"/>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3"/>
              <w:gridCol w:w="2835"/>
              <w:gridCol w:w="3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证书名称</w:t>
                  </w: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颁证机构</w:t>
                  </w:r>
                </w:p>
              </w:tc>
              <w:tc>
                <w:tcPr>
                  <w:tcW w:w="3089"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可申请免修免考课程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bookmarkStart w:id="7" w:name="_Hlk461002111"/>
                  <w:r>
                    <w:rPr>
                      <w:rFonts w:hint="eastAsia" w:asciiTheme="minorEastAsia" w:hAnsiTheme="minorEastAsia" w:eastAsiaTheme="minorEastAsia" w:cstheme="minorEastAsia"/>
                      <w:sz w:val="24"/>
                      <w:szCs w:val="24"/>
                    </w:rPr>
                    <w:t>社会体育指导员（游泳）</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国家体育总局、人力资源和社会保障部</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《游泳与救生》</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《运动损伤防护及康复》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社会体育指导员（滑雪）</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国家体育总局、人力资源和社会保障部</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《滑雪》</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《运动损伤防护及康复》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社会体育指导员（潜水）</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国家体育总局、人力资源和社会保障部</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《潜水》</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《运动损伤防护及康复》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社会体育指导员（攀岩）</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国家体育总局、人力资源和社会保障部</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《攀岩》</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《运动损伤防护及康复》</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游泳救生员</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国家体育总局、人力资源和社会保障部</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《游泳与救生》</w:t>
                  </w:r>
                </w:p>
              </w:tc>
            </w:tr>
          </w:tbl>
          <w:p>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社会体育指导员暂设工种包括：游泳、健美操、滑雪、保龄球、卡丁车、蹦极、攀岩、轮滑、滑冰、射击、射箭、潜水、漂流、滑翔伞、热气球、动力伞、跆拳道、柔道、摔跤、拳击、武术、击剑、马术、帆板、滑水、跳伞、网球、羽毛球、棒球、垒球、高尔夫球、自行车、围棋、象棋、健美、航海模型、足球、篮球、乒乓球、台球、健身教练、散打、空手道、体育舞蹈、国际象棋、拓展、山地户外等。其中，游泳、滑雪、潜水和攀岩收录于2019年1月的《国家职业资格目录》中，其他项目均由各地体育主管部门或行业协会组织培训与认定。</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表2 相关技能等级证书/培训一览表</w:t>
            </w:r>
          </w:p>
          <w:tbl>
            <w:tblPr>
              <w:tblStyle w:val="9"/>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8"/>
              <w:gridCol w:w="2410"/>
              <w:gridCol w:w="3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证书（培训）名称</w:t>
                  </w:r>
                </w:p>
              </w:tc>
              <w:tc>
                <w:tcPr>
                  <w:tcW w:w="241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颁证机构</w:t>
                  </w:r>
                </w:p>
              </w:tc>
              <w:tc>
                <w:tcPr>
                  <w:tcW w:w="3089"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可申请免修课程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社会体育指导员（健美操）</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《健美操》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社会体育指导员（跆拳道）</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《跆拳道》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社会体育指导员（足球）</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《足球》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社会体育指导员（篮球）</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《篮球》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社会体育指导员（台球）</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《台球》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社会体育指导员（高尔夫球）</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《高尔夫球》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社会体育指导员（太极拳）</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《太极与养生》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社会体育指导员（健身教练）</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当地体育主管部门、专项运动行业协会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《健身教练》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运动营养师</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国家体育总局、中国食品科学技术学会运动营养食品分会</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《体育营养学》</w:t>
                  </w:r>
                </w:p>
              </w:tc>
            </w:tr>
          </w:tbl>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（三）课程说明</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1．国家开放大学学习指南</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本课程1学分，课内学时18学时，开设一学期。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性质及主要内容：本课程是国家开放大学各专业开设的一门必修课。课程内容包括正确认识学习目标；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目标：学生通过本课程的学习，能够明确学习目的，坚定理念信念，强化思想政治和道德修养。能够了解国家开放大学的概况、历史，熟悉专业、课程设置情况和学习环境，熟悉与远程学习模式相适应的学习方法，学会运用现代信息技术进行网络学习和交流，知道学校学生相关事务的管理规定、参与学生活动的方式以及获得奖励的相关要求。使学生逐步培养自主学习的习惯，初步具备利用现代远程技术在国家开放大学进行学习的能力。</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课程资源：文字教材，《国家开放大学学习指南》，杨志坚主编，国家开放大学出版社，2018年12月第一版。网络课程。</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学习建议：根据教学计划的统一要求，按时登录国家开放大学学习网，根据教学设计进行课程学习，做练习、与老师同学讨论交流，完成布置的作业。</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2．计算机应用基础（本）</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 4 学分, 课内学时72 学时, 开设一学期。</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本课程将“立德树人”贯穿于课程教学全过程。通过本课程的学习，学生应能了解计算机的基础知识、基本概念、基本操作技能,学会使用微机进行日常办公事务处理，掌握网络基本使用方法，了解现代信息技术, 为学生深入学习计算机相关知识、技能以及提高综合素质打下基础。 </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 计算机基础知识(含计算机系统组成、信息编码、微机硬件及配置和多媒体技术与应用)；微机操作系统 (Windows)及其应用；计算机网络基础；Word文字处理系统；Excel电子表格系统；PowerPoint电子演示文稿系统；信息安全与网络道德等。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3.习近平新时代中国特色社会主义思想</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本课程2学分，共36学时，开设一学期。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习近平新时代中国特色社会主义思想》是国家开放大学面向本专科各专业学生开设的一门思想政治理论必修课程。通过本课程的学习，学生能系统地掌握习近平新时代中国特色社会主义思想的形成背景、主要内容及其历史地位，从而自觉地投身于中国特色社会主义的伟大建设实践，为中国人民谋幸福，为中华民族谋复兴。</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总论；中国特色社会主义进入新时代的重要依据；中国特色社会主义进入新时代的重大意义；中国特色社会主义进入新时代的努力方向；薪火传承、担当使命；八个明确和十四个基本方略；新时代中国特色社会主义的总体布局；四个全面吹响“集结号”；中国特色社会主义进入新时代的发展战略；中国智慧、中国方案；中国特色社会主义进入新时代的军队建设；时代先锋、世界脊梁；中国特色社会主义进入新时代的党的建设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 中国近现代史纲要</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近现代史纲要》是国家开放大学面向本科各专业学生开设的一门思想政治理论必修课程。通过本课程的学习，学生可以认识近现代中国社会发展和革命、建设、改革的历史进程及其内在的规律性；了解国史、国情，深刻领会历史和人民是怎样选择了马克思主义，选择了中国共产党，选择了社会主义道路，选择了改革开放；提高运用科学的历史观和方法论分析和评价历史问题、辨别历史是非和社会发展方向的能力；增强实现中华民族伟大复兴的责任感和使命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包括：鸦片战争前后的中国与世界，国家出路的早期探索，中国历史和中国人民选择了马克思主义，中国革命的新道路——从第一次国共合作到土地革命战争，从抗日战争到解放战争、社会主义基本制度的确立、中国特色社会主义的开创与发展等内容。</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5.马克思主义基本原理概论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本课程3学分，共54学时，开设一学期。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马克思主义基本原理概论》是国家开放大学面向本科各专业学生开设的一门思想政治理论必修课程。通过本课程学习，学生能系统学习马克思主义哲学、政治经济学和科学社会主义的基本内容，能够正确认识人类社会发展的基本规律，能够树立建设中国特色社会主义共同理想和共产主义崇高理想。</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包括：马克思主义的产生、世界的物质性及发展规律、实践与认识及其发展规律、人类社会及其发展规律、资本主义的本质及规律、资本主义的发展及其趋势、社会主义的发展及其规律、共产主义的崇高理想等内容。</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6．形势与政策</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本课程2学分，共36学时，本、专科学生在校学习期间开课不断线。</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形势与政策》是国家开放大学面向本专科各专业学生开设的一门思想政治理论必修课程。通过本课程的学习，学生学会运用马克思主义的形势观和政策理论，科学地分析国内外形势，正确地理解党的现行政策，引导他们自觉地拥护党的基本路线，维护社会主义制度，学习世界政治经济与国际关系基本知识，增强实现改革开放和社会主义现代化建设宏伟目标的信心和社会责任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本课程的主要内容包括：党和国家重大的理论政策、社会主义现代化建设的形势、国际形势与国际关系、各省经济社会发展形势与特点、安全教育等内容。</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7．社会体育学概论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本课程对社会体育进行概述性介绍，主要内容包括社会体育的由来与发展、社会体育学的研究方法、我国关于社会体育的制度建设、社会体育管理、体育锻炼的原理与方法、终身体育、健康评价等。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8．社区体育导论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本课程主要内容包括社区基本概念、社区服务与建设；城市、农村、城镇社区体育；社区体育工作的理论与实施过程；社区体育管理；国外社区体育概况。</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9．体育社会学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社会现象的社会学分析；体育运动的社会分层、流动与控制；社会结构中的体育运动；社会文化中的体育运动；社会进步中的体育运动；社会关系与互动中的体育运动；社会生活中的体育运动；竞技体育的社会学分析；社会体育的社会学分析；体育群体与人群体育的社会学分析；体育运动的民族与宗教问题；体育的社会问题；体育社会学研究方法。</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10．运动项目理论与实践</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本课程主要内容包括现代常见运动项目（如竞技类、运动休闲类）的常用教法、课程设计与组织等基本理论；运动项目的起源、功能、特点、基本技术及要求、基本动作及教法等。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11．体育俱乐部管理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本课程主要内容包括体育俱乐部基本概念、起源、意义、特征、功能；经营管理体育俱乐部的基本原理；我国体育俱乐部的现状及发展趋势；体育俱乐部的管理运作程序、方法、手段。</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12．健康评价与运动处方</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运动处方的作用内容与信息系统、制定运动处方的基本原则及依据、不同身体素质的测定与评价、青少年/中年人/老年人/女性等不同群体的健身运动处方、竞技运动处方、康复治疗运动处方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13．运动解剖学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运动解剖学的定义、研究内容与方法；细胞与细胞间质；人体基本组织、运动系统、消化系统、呼吸系统、泌尿系统、生殖系统、脉管系统、神经系统、感觉器官、内分泌系统；人体的发生与生长发育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14．运动生理学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骨骼肌收缩的机理、形式，骨骼肌的肌纤维类型；运动对血容量、血细胞的影响，心血管机能的评价指标，运动对心血管系统的影响；呼吸机能的评价指标，运动中的合理呼吸，运动过程中能量供应特点；运动对内分泌机能的影响；神经对骨骼肌的调节与控制；运动技能的本质与形成过程；有氧、无氧工作能的影响因素、评价和训练方法；身体素质的概念与影响因素；运动过程中人体机能变化规律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15．体育保健学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本课程主要内容包括体育运动与健康、体育运动的卫生要求、医务监督；运动与合理膳食；运动性病症；常见的运动损伤及现场急救；体疗康复；运动按摩等。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16．社会心理学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本课程主要内容包括社会心理学的发展史、研究对象、方法；社会化与个性化；自我概念、印象、态度、归因；人际吸引与排斥；人际交往与关系；人际互动；反社会行为与亲社会行为；大众社会心理现象。</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17．管理心理学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本课程主要内容包括管理心理学的基本理论概念、产生与发展历程；感知与管理；个体心理差异与管理；挫折与管理；激励理论；群体心理与行为；群体沟通与决策；群体中的人际关系；领导心理；组织心理等。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18．体育设施与管理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本课程主要内容包括体育设施概述、体育场地构造、体育场地与器材的规格、体育场地的配套设施，体育设施的设备、日常管理、经营服务管理、绩效管理等。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19．体育课程与教学论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课程教学目标的结构与制定；中小学体育课程教学内容的选用；体育课程实施的策略、途径、基本步骤；体育教学策略、教学组织的基本形式、过程，体育教学手段；体育学习评价；体育课程开发与教学设计、教学资源、教学研究；体育教师的专业发展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20．管理学原理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本课程为本科补修课程，2学分，课内学时36学时，开设一学期。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本课程主要内容包括管理学概述、管理的主要理念和基本原则、管理职能、管理决策与计划、组织与人力资源管理、财务管理与信息管理、领导与沟通、控制与团队创建等。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21．体育管理学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本课程为本科补修课程，2学分，课内学时36学时，开设一学期。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本课程主要内容包括体育管理学的形成与发展、意义与性质；体育管理基本原理、职能与方法；体育管理体制及其影响因素；学校体育管理、运动体育管理及社会体育管理；体育的产业管理及信息管理等。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22．体育市场营销</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本课程为本科补修课程，3学分，课内学时54学时，开设一学期。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市场细分、目标市场的选择与定位；体育消费心理与购买行为；体育产品；体育市场营销与促销；体育市场调查；体育赞助营销；体育网络营销；体育经纪人；体育赛事营销；体育服务、有形产品的营销；体育场馆营销；体育彩票营销等。</w:t>
            </w:r>
          </w:p>
          <w:p>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六、毕业规则与学位规则</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1.毕业规则</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本专业各模块最低毕业学分依次是：公共基础课5学分；思想政治课8学分；专业基础课12学分；专业课24学分；专业拓展课8学分；通识课2学分；综合实践8学分；公共英语课６学分；补修课7学分。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本专业各模块最低学分之和为72学分（需补修的学生为72+7学分）。最低学习年限不少于两年半。各模块国家开放大学总部考试学分之和为46学分。</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2.学位规则</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本专业学位申请的规则是：达到教学计划规定的毕业要求，经审核符合以下学术水平要求者，可授予教育学学士学位。</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（1）必修课程平均成绩75分及以上；</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（2）学位论文成绩良好（或80分)及以上；</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（3）通过以下任何一种外语考试，成绩合格：</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①国家开放大学非英语类专业学士学位英语考试；</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②国家开放大学组织的北京地区成人本科学士学位英语考试；</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③国家开放大学组织的合作高校相应专业学士学位英语考试（适用于对应专业）；</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④全国大学英语四级考试（425分及以上）；</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⑤全国英语等级考试三级（PETS-3）及以上笔试（不含口试）。</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以上条件均为现行要求，具体执行以学生申请学位当年出台的要求为准。</w:t>
            </w:r>
            <w:r>
              <w:rPr>
                <w:rFonts w:hint="eastAsia" w:asciiTheme="minorEastAsia" w:hAnsiTheme="minorEastAsia" w:eastAsiaTheme="minorEastAsia" w:cstheme="minorEastAsia"/>
                <w:bCs/>
                <w:sz w:val="24"/>
                <w:szCs w:val="24"/>
              </w:rPr>
              <w:br w:type="page"/>
            </w:r>
          </w:p>
          <w:p>
            <w:pPr>
              <w:spacing w:line="520" w:lineRule="exact"/>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bCs w:val="0"/>
                <w:sz w:val="28"/>
                <w:szCs w:val="28"/>
              </w:rPr>
              <w:t>七、教学计划进程表</w:t>
            </w:r>
          </w:p>
          <w:tbl>
            <w:tblPr>
              <w:tblStyle w:val="9"/>
              <w:tblW w:w="8306" w:type="dxa"/>
              <w:tblInd w:w="93" w:type="dxa"/>
              <w:tblLayout w:type="autofit"/>
              <w:tblCellMar>
                <w:top w:w="0" w:type="dxa"/>
                <w:left w:w="108" w:type="dxa"/>
                <w:bottom w:w="0" w:type="dxa"/>
                <w:right w:w="108" w:type="dxa"/>
              </w:tblCellMar>
            </w:tblPr>
            <w:tblGrid>
              <w:gridCol w:w="390"/>
              <w:gridCol w:w="554"/>
              <w:gridCol w:w="554"/>
              <w:gridCol w:w="677"/>
              <w:gridCol w:w="472"/>
              <w:gridCol w:w="656"/>
              <w:gridCol w:w="410"/>
              <w:gridCol w:w="1599"/>
              <w:gridCol w:w="385"/>
              <w:gridCol w:w="804"/>
              <w:gridCol w:w="554"/>
              <w:gridCol w:w="697"/>
              <w:gridCol w:w="554"/>
            </w:tblGrid>
            <w:tr>
              <w:tblPrEx>
                <w:tblCellMar>
                  <w:top w:w="0" w:type="dxa"/>
                  <w:left w:w="108" w:type="dxa"/>
                  <w:bottom w:w="0" w:type="dxa"/>
                  <w:right w:w="108" w:type="dxa"/>
                </w:tblCellMar>
              </w:tblPrEx>
              <w:trPr>
                <w:trHeight w:val="317" w:hRule="atLeast"/>
              </w:trPr>
              <w:tc>
                <w:tcPr>
                  <w:tcW w:w="8306"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rPr>
                    <w:t>社会体育指导与管理(本科(专科起点))专业</w:t>
                  </w:r>
                  <w:r>
                    <w:rPr>
                      <w:rFonts w:hint="eastAsia" w:asciiTheme="minorEastAsia" w:hAnsiTheme="minorEastAsia" w:eastAsiaTheme="minorEastAsia" w:cstheme="minorEastAsia"/>
                      <w:color w:val="000000"/>
                      <w:kern w:val="0"/>
                      <w:sz w:val="16"/>
                      <w:szCs w:val="16"/>
                      <w:lang w:eastAsia="zh-CN"/>
                    </w:rPr>
                    <w:t>教学计划进程表</w:t>
                  </w:r>
                </w:p>
              </w:tc>
            </w:tr>
            <w:tr>
              <w:tblPrEx>
                <w:tblCellMar>
                  <w:top w:w="0" w:type="dxa"/>
                  <w:left w:w="108" w:type="dxa"/>
                  <w:bottom w:w="0" w:type="dxa"/>
                  <w:right w:w="108" w:type="dxa"/>
                </w:tblCellMar>
              </w:tblPrEx>
              <w:trPr>
                <w:trHeight w:val="317" w:hRule="atLeast"/>
              </w:trPr>
              <w:tc>
                <w:tcPr>
                  <w:tcW w:w="149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专业名称</w:t>
                  </w:r>
                </w:p>
              </w:tc>
              <w:tc>
                <w:tcPr>
                  <w:tcW w:w="2215" w:type="dxa"/>
                  <w:gridSpan w:val="4"/>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社会体育指导与管理</w:t>
                  </w:r>
                </w:p>
              </w:tc>
              <w:tc>
                <w:tcPr>
                  <w:tcW w:w="1599"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规则号</w:t>
                  </w:r>
                </w:p>
              </w:tc>
              <w:tc>
                <w:tcPr>
                  <w:tcW w:w="2994" w:type="dxa"/>
                  <w:gridSpan w:val="5"/>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　</w:t>
                  </w:r>
                </w:p>
              </w:tc>
            </w:tr>
            <w:tr>
              <w:tblPrEx>
                <w:tblCellMar>
                  <w:top w:w="0" w:type="dxa"/>
                  <w:left w:w="108" w:type="dxa"/>
                  <w:bottom w:w="0" w:type="dxa"/>
                  <w:right w:w="108" w:type="dxa"/>
                </w:tblCellMar>
              </w:tblPrEx>
              <w:trPr>
                <w:trHeight w:val="317" w:hRule="atLeast"/>
              </w:trPr>
              <w:tc>
                <w:tcPr>
                  <w:tcW w:w="149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学生类型</w:t>
                  </w:r>
                </w:p>
              </w:tc>
              <w:tc>
                <w:tcPr>
                  <w:tcW w:w="2215" w:type="dxa"/>
                  <w:gridSpan w:val="4"/>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 xml:space="preserve">开放            </w:t>
                  </w:r>
                </w:p>
              </w:tc>
              <w:tc>
                <w:tcPr>
                  <w:tcW w:w="1599"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专业层次</w:t>
                  </w:r>
                </w:p>
              </w:tc>
              <w:tc>
                <w:tcPr>
                  <w:tcW w:w="2994" w:type="dxa"/>
                  <w:gridSpan w:val="5"/>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本科(专科起点)</w:t>
                  </w:r>
                </w:p>
              </w:tc>
            </w:tr>
            <w:tr>
              <w:tblPrEx>
                <w:tblCellMar>
                  <w:top w:w="0" w:type="dxa"/>
                  <w:left w:w="108" w:type="dxa"/>
                  <w:bottom w:w="0" w:type="dxa"/>
                  <w:right w:w="108" w:type="dxa"/>
                </w:tblCellMar>
              </w:tblPrEx>
              <w:trPr>
                <w:trHeight w:val="317" w:hRule="atLeast"/>
              </w:trPr>
              <w:tc>
                <w:tcPr>
                  <w:tcW w:w="149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毕业学分</w:t>
                  </w:r>
                </w:p>
              </w:tc>
              <w:tc>
                <w:tcPr>
                  <w:tcW w:w="2215" w:type="dxa"/>
                  <w:gridSpan w:val="4"/>
                  <w:tcBorders>
                    <w:top w:val="single" w:color="auto" w:sz="4" w:space="0"/>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72</w:t>
                  </w:r>
                </w:p>
              </w:tc>
              <w:tc>
                <w:tcPr>
                  <w:tcW w:w="1599"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总部考试学分</w:t>
                  </w:r>
                </w:p>
              </w:tc>
              <w:tc>
                <w:tcPr>
                  <w:tcW w:w="2994" w:type="dxa"/>
                  <w:gridSpan w:val="5"/>
                  <w:tcBorders>
                    <w:top w:val="single" w:color="auto" w:sz="4" w:space="0"/>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46</w:t>
                  </w:r>
                </w:p>
              </w:tc>
            </w:tr>
            <w:tr>
              <w:tblPrEx>
                <w:tblCellMar>
                  <w:top w:w="0" w:type="dxa"/>
                  <w:left w:w="108" w:type="dxa"/>
                  <w:bottom w:w="0" w:type="dxa"/>
                  <w:right w:w="108" w:type="dxa"/>
                </w:tblCellMar>
              </w:tblPrEx>
              <w:trPr>
                <w:trHeight w:val="846" w:hRule="atLeast"/>
              </w:trPr>
              <w:tc>
                <w:tcPr>
                  <w:tcW w:w="390" w:type="dxa"/>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模块名</w:t>
                  </w:r>
                </w:p>
              </w:tc>
              <w:tc>
                <w:tcPr>
                  <w:tcW w:w="55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模块最低毕业学分</w:t>
                  </w:r>
                </w:p>
              </w:tc>
              <w:tc>
                <w:tcPr>
                  <w:tcW w:w="55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模块最低总部考试学分</w:t>
                  </w:r>
                </w:p>
              </w:tc>
              <w:tc>
                <w:tcPr>
                  <w:tcW w:w="677"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模块最低设置学分</w:t>
                  </w:r>
                </w:p>
              </w:tc>
              <w:tc>
                <w:tcPr>
                  <w:tcW w:w="472"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序号</w:t>
                  </w:r>
                </w:p>
              </w:tc>
              <w:tc>
                <w:tcPr>
                  <w:tcW w:w="656"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课程代码</w:t>
                  </w:r>
                </w:p>
              </w:tc>
              <w:tc>
                <w:tcPr>
                  <w:tcW w:w="2009"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课程名称</w:t>
                  </w:r>
                </w:p>
              </w:tc>
              <w:tc>
                <w:tcPr>
                  <w:tcW w:w="385"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学分</w:t>
                  </w:r>
                </w:p>
              </w:tc>
              <w:tc>
                <w:tcPr>
                  <w:tcW w:w="804"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课程类型</w:t>
                  </w:r>
                </w:p>
              </w:tc>
              <w:tc>
                <w:tcPr>
                  <w:tcW w:w="55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课程性质</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建议开设学期</w:t>
                  </w:r>
                </w:p>
              </w:tc>
              <w:tc>
                <w:tcPr>
                  <w:tcW w:w="55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考试单位</w:t>
                  </w:r>
                </w:p>
              </w:tc>
            </w:tr>
            <w:tr>
              <w:tblPrEx>
                <w:tblCellMar>
                  <w:top w:w="0" w:type="dxa"/>
                  <w:left w:w="108" w:type="dxa"/>
                  <w:bottom w:w="0" w:type="dxa"/>
                  <w:right w:w="108" w:type="dxa"/>
                </w:tblCellMar>
              </w:tblPrEx>
              <w:trPr>
                <w:trHeight w:val="317" w:hRule="atLeast"/>
              </w:trPr>
              <w:tc>
                <w:tcPr>
                  <w:tcW w:w="39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公</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共</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基</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础</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课</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12</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2970</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国家开放大学学习指南</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808</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计算机应用基础(本)</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1750</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学位论文指南</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7</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50107</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学位外语</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0</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分部</w:t>
                  </w:r>
                </w:p>
              </w:tc>
            </w:tr>
            <w:tr>
              <w:tblPrEx>
                <w:tblCellMar>
                  <w:top w:w="0" w:type="dxa"/>
                  <w:left w:w="108" w:type="dxa"/>
                  <w:bottom w:w="0" w:type="dxa"/>
                  <w:right w:w="108" w:type="dxa"/>
                </w:tblCellMar>
              </w:tblPrEx>
              <w:trPr>
                <w:trHeight w:val="674" w:hRule="atLeast"/>
              </w:trPr>
              <w:tc>
                <w:tcPr>
                  <w:tcW w:w="39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思</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想</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政</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治</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课</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8</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8</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10</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4391</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习近平新时代中国特色社会主义思想</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5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4390</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中国近现代史纲要</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7</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2902</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民族理论与民族政策</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分部</w:t>
                  </w:r>
                </w:p>
              </w:tc>
            </w:tr>
            <w:tr>
              <w:tblPrEx>
                <w:tblCellMar>
                  <w:top w:w="0" w:type="dxa"/>
                  <w:left w:w="108" w:type="dxa"/>
                  <w:bottom w:w="0" w:type="dxa"/>
                  <w:right w:w="108" w:type="dxa"/>
                </w:tblCellMar>
              </w:tblPrEx>
              <w:trPr>
                <w:trHeight w:val="52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8</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4384</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马克思主义基本原理概论</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17" w:hRule="atLeast"/>
              </w:trPr>
              <w:tc>
                <w:tcPr>
                  <w:tcW w:w="39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专业基础课</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12</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9</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19</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9</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社会体育概论</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10</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社区体育导论</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11</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体育社会学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12</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体育法规</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13</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休闲体育项目概论</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14</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全民健身概论</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15</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体育经济学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39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专</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业</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课</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24</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18</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val="en-US" w:eastAsia="zh-CN"/>
                    </w:rPr>
                  </w:pPr>
                  <w:r>
                    <w:rPr>
                      <w:rFonts w:hint="eastAsia" w:asciiTheme="minorEastAsia" w:hAnsiTheme="minorEastAsia" w:eastAsiaTheme="minorEastAsia" w:cstheme="minorEastAsia"/>
                      <w:color w:val="000000"/>
                      <w:kern w:val="0"/>
                      <w:sz w:val="16"/>
                      <w:szCs w:val="16"/>
                      <w:lang w:val="en-US" w:eastAsia="zh-CN"/>
                    </w:rPr>
                    <w:t>30</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16</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运动项目理论与实践</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17</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体育俱乐部管理</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18</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健康评价与运动处方</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19</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运动解剖学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20</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运动生理学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21</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体育保健学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22</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体育科研方法</w:t>
                  </w:r>
                </w:p>
              </w:tc>
              <w:tc>
                <w:tcPr>
                  <w:tcW w:w="38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23</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运动损伤防护及康复</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24</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体适能评价</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25</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运动心理学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26</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体育营养学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83"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27</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运动竞赛学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30" w:hRule="atLeast"/>
              </w:trPr>
              <w:tc>
                <w:tcPr>
                  <w:tcW w:w="39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专</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业</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拓</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展</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课</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8</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0</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12</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28</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通识理论类</w:t>
                  </w:r>
                </w:p>
              </w:tc>
              <w:tc>
                <w:tcPr>
                  <w:tcW w:w="1599" w:type="dxa"/>
                  <w:tcBorders>
                    <w:top w:val="single" w:color="auto" w:sz="4" w:space="0"/>
                    <w:left w:val="single" w:color="auto" w:sz="4" w:space="0"/>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社会心理学</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29</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管理心理学</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30</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体育设施与管理</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31</w:t>
                  </w:r>
                </w:p>
              </w:tc>
              <w:tc>
                <w:tcPr>
                  <w:tcW w:w="656" w:type="dxa"/>
                  <w:tcBorders>
                    <w:top w:val="nil"/>
                    <w:left w:val="nil"/>
                    <w:bottom w:val="single" w:color="auto" w:sz="4" w:space="0"/>
                    <w:right w:val="single" w:color="auto" w:sz="4" w:space="0"/>
                  </w:tcBorders>
                  <w:noWrap/>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体育课程与教学论</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总部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single" w:color="auto" w:sz="4" w:space="0"/>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32</w:t>
                  </w:r>
                </w:p>
              </w:tc>
              <w:tc>
                <w:tcPr>
                  <w:tcW w:w="656"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运动技术类</w:t>
                  </w:r>
                </w:p>
              </w:tc>
              <w:tc>
                <w:tcPr>
                  <w:tcW w:w="1599" w:type="dxa"/>
                  <w:tcBorders>
                    <w:top w:val="single" w:color="auto" w:sz="4" w:space="0"/>
                    <w:left w:val="single" w:color="auto" w:sz="4" w:space="0"/>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体育舞蹈</w:t>
                  </w:r>
                </w:p>
              </w:tc>
              <w:tc>
                <w:tcPr>
                  <w:tcW w:w="38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single" w:color="auto" w:sz="4" w:space="0"/>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33</w:t>
                  </w:r>
                </w:p>
              </w:tc>
              <w:tc>
                <w:tcPr>
                  <w:tcW w:w="656"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single" w:color="auto" w:sz="4" w:space="0"/>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高尔夫球</w:t>
                  </w:r>
                </w:p>
              </w:tc>
              <w:tc>
                <w:tcPr>
                  <w:tcW w:w="38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34</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篮球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35</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台球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36</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足球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37</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羽毛球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38</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乒乓球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39</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健美操</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3</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瑜伽</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41</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游泳与救生</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42</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跆拳道</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43</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户外运动基础</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44</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太极与养生</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45</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攀岩</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46</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滑雪</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47</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潜水</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48</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健身运动类</w:t>
                  </w:r>
                </w:p>
              </w:tc>
              <w:tc>
                <w:tcPr>
                  <w:tcW w:w="1599" w:type="dxa"/>
                  <w:tcBorders>
                    <w:top w:val="single" w:color="auto" w:sz="4" w:space="0"/>
                    <w:left w:val="single" w:color="auto" w:sz="4" w:space="0"/>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健身教练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49</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健身房有氧训练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50</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tcBorders>
                    <w:top w:val="nil"/>
                    <w:left w:val="nil"/>
                    <w:bottom w:val="single" w:color="auto" w:sz="4" w:space="0"/>
                    <w:right w:val="nil"/>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健身房抗阻训练</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59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51</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p>
              </w:tc>
              <w:tc>
                <w:tcPr>
                  <w:tcW w:w="1599" w:type="dxa"/>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健康促进与体重控制</w:t>
                  </w:r>
                </w:p>
              </w:tc>
              <w:tc>
                <w:tcPr>
                  <w:tcW w:w="385" w:type="dxa"/>
                  <w:tcBorders>
                    <w:top w:val="nil"/>
                    <w:left w:val="single" w:color="auto" w:sz="4" w:space="0"/>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390"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通</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识</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课</w:t>
                  </w:r>
                </w:p>
              </w:tc>
              <w:tc>
                <w:tcPr>
                  <w:tcW w:w="554"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554"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0</w:t>
                  </w:r>
                </w:p>
              </w:tc>
              <w:tc>
                <w:tcPr>
                  <w:tcW w:w="677"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14</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52</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4392</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形势与政策</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lang w:val="en-US" w:eastAsia="zh-CN"/>
                    </w:rPr>
                  </w:pPr>
                  <w:r>
                    <w:rPr>
                      <w:rFonts w:hint="eastAsia" w:asciiTheme="minorEastAsia" w:hAnsiTheme="minorEastAsia" w:eastAsiaTheme="minorEastAsia" w:cstheme="minorEastAsia"/>
                      <w:kern w:val="0"/>
                      <w:sz w:val="16"/>
                      <w:szCs w:val="16"/>
                      <w:lang w:val="en-US" w:eastAsia="zh-CN"/>
                    </w:rPr>
                    <w:t>1-5</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53</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51757</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新能源与现代生活</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54</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51769</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信息时代的生产技术</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55</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51771</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养生与保健</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56</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51754</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艺术导论</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57</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51751</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应用伦理基础</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58</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51779</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中华文化概说</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31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59</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51762</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终身学习与职业发展</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非统设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分部</w:t>
                  </w:r>
                </w:p>
              </w:tc>
            </w:tr>
            <w:tr>
              <w:tblPrEx>
                <w:tblCellMar>
                  <w:top w:w="0" w:type="dxa"/>
                  <w:left w:w="108" w:type="dxa"/>
                  <w:bottom w:w="0" w:type="dxa"/>
                  <w:right w:w="108" w:type="dxa"/>
                </w:tblCellMar>
              </w:tblPrEx>
              <w:trPr>
                <w:trHeight w:val="476" w:hRule="atLeast"/>
              </w:trPr>
              <w:tc>
                <w:tcPr>
                  <w:tcW w:w="390"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综</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合</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实</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践</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8</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0</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8</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60</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毕业论文</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分部</w:t>
                  </w:r>
                </w:p>
              </w:tc>
            </w:tr>
            <w:tr>
              <w:tblPrEx>
                <w:tblCellMar>
                  <w:top w:w="0" w:type="dxa"/>
                  <w:left w:w="108" w:type="dxa"/>
                  <w:bottom w:w="0" w:type="dxa"/>
                  <w:right w:w="108" w:type="dxa"/>
                </w:tblCellMar>
              </w:tblPrEx>
              <w:trPr>
                <w:trHeight w:val="476"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61</w:t>
                  </w:r>
                </w:p>
              </w:tc>
              <w:tc>
                <w:tcPr>
                  <w:tcW w:w="656"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　</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专业实践报告</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5</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分部</w:t>
                  </w:r>
                </w:p>
              </w:tc>
            </w:tr>
            <w:tr>
              <w:tblPrEx>
                <w:tblCellMar>
                  <w:top w:w="0" w:type="dxa"/>
                  <w:left w:w="108" w:type="dxa"/>
                  <w:bottom w:w="0" w:type="dxa"/>
                  <w:right w:w="108" w:type="dxa"/>
                </w:tblCellMar>
              </w:tblPrEx>
              <w:trPr>
                <w:trHeight w:val="397" w:hRule="atLeast"/>
              </w:trPr>
              <w:tc>
                <w:tcPr>
                  <w:tcW w:w="39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公</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共</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英</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语</w:t>
                  </w:r>
                  <w:r>
                    <w:rPr>
                      <w:rFonts w:hint="eastAsia" w:asciiTheme="minorEastAsia" w:hAnsiTheme="minorEastAsia" w:eastAsiaTheme="minorEastAsia" w:cstheme="minorEastAsia"/>
                      <w:color w:val="000000"/>
                      <w:kern w:val="0"/>
                      <w:sz w:val="16"/>
                      <w:szCs w:val="16"/>
                    </w:rPr>
                    <w:br w:type="textWrapping"/>
                  </w:r>
                  <w:r>
                    <w:rPr>
                      <w:rFonts w:hint="eastAsia" w:asciiTheme="minorEastAsia" w:hAnsiTheme="minorEastAsia" w:eastAsiaTheme="minorEastAsia" w:cstheme="minorEastAsia"/>
                      <w:color w:val="000000"/>
                      <w:kern w:val="0"/>
                      <w:sz w:val="16"/>
                      <w:szCs w:val="16"/>
                    </w:rPr>
                    <w:t>课</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30</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62</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4019</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管理英语3</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63</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4020</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管理英语4</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FF"/>
                      <w:kern w:val="0"/>
                      <w:sz w:val="16"/>
                      <w:szCs w:val="16"/>
                      <w:lang w:val="en-US" w:eastAsia="zh-CN"/>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rPr>
                    <w:t>6</w:t>
                  </w:r>
                  <w:r>
                    <w:rPr>
                      <w:rFonts w:hint="eastAsia" w:asciiTheme="minorEastAsia" w:hAnsiTheme="minorEastAsia" w:eastAsiaTheme="minorEastAsia" w:cstheme="minorEastAsia"/>
                      <w:color w:val="000000"/>
                      <w:kern w:val="0"/>
                      <w:sz w:val="16"/>
                      <w:szCs w:val="16"/>
                      <w:lang w:val="en-US" w:eastAsia="zh-CN"/>
                    </w:rPr>
                    <w:t>4</w:t>
                  </w:r>
                </w:p>
              </w:tc>
              <w:tc>
                <w:tcPr>
                  <w:tcW w:w="656" w:type="dxa"/>
                  <w:tcBorders>
                    <w:top w:val="nil"/>
                    <w:left w:val="nil"/>
                    <w:bottom w:val="single" w:color="auto" w:sz="4" w:space="0"/>
                    <w:right w:val="single" w:color="auto" w:sz="4" w:space="0"/>
                  </w:tcBorders>
                  <w:noWrap/>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4007</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理工英语3</w:t>
                  </w:r>
                </w:p>
              </w:tc>
              <w:tc>
                <w:tcPr>
                  <w:tcW w:w="385" w:type="dxa"/>
                  <w:tcBorders>
                    <w:top w:val="nil"/>
                    <w:left w:val="nil"/>
                    <w:bottom w:val="single" w:color="auto" w:sz="4" w:space="0"/>
                    <w:right w:val="single" w:color="auto" w:sz="4" w:space="0"/>
                  </w:tcBorders>
                  <w:noWrap/>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rPr>
                    <w:t>6</w:t>
                  </w:r>
                  <w:r>
                    <w:rPr>
                      <w:rFonts w:hint="eastAsia" w:asciiTheme="minorEastAsia" w:hAnsiTheme="minorEastAsia" w:eastAsiaTheme="minorEastAsia" w:cstheme="minorEastAsia"/>
                      <w:color w:val="000000"/>
                      <w:kern w:val="0"/>
                      <w:sz w:val="16"/>
                      <w:szCs w:val="16"/>
                      <w:lang w:val="en-US" w:eastAsia="zh-CN"/>
                    </w:rPr>
                    <w:t>5</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4008</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理工英语4</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lang w:val="en-US" w:eastAsia="zh-CN"/>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66</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4015</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人文英语3</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67</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4016</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人文英语4</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lang w:val="en-US" w:eastAsia="zh-CN"/>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68</w:t>
                  </w:r>
                </w:p>
              </w:tc>
              <w:tc>
                <w:tcPr>
                  <w:tcW w:w="656" w:type="dxa"/>
                  <w:tcBorders>
                    <w:top w:val="nil"/>
                    <w:left w:val="nil"/>
                    <w:bottom w:val="single" w:color="auto" w:sz="4" w:space="0"/>
                    <w:right w:val="single" w:color="auto" w:sz="4" w:space="0"/>
                  </w:tcBorders>
                  <w:noWrap/>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4011</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商务英语3</w:t>
                  </w:r>
                </w:p>
              </w:tc>
              <w:tc>
                <w:tcPr>
                  <w:tcW w:w="385" w:type="dxa"/>
                  <w:tcBorders>
                    <w:top w:val="nil"/>
                    <w:left w:val="nil"/>
                    <w:bottom w:val="single" w:color="auto" w:sz="4" w:space="0"/>
                    <w:right w:val="single" w:color="auto" w:sz="4" w:space="0"/>
                  </w:tcBorders>
                  <w:noWrap/>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noWrap/>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noWrap/>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noWrap/>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69</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4012</w:t>
                  </w: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商务英语4</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选修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lang w:val="en-US" w:eastAsia="zh-CN"/>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39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补修课</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lang w:val="en-US" w:eastAsia="zh-CN"/>
                    </w:rPr>
                    <w:t>0</w:t>
                  </w:r>
                </w:p>
              </w:tc>
              <w:tc>
                <w:tcPr>
                  <w:tcW w:w="5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lang w:val="en-US" w:eastAsia="zh-CN"/>
                    </w:rPr>
                    <w:t>0</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lang w:eastAsia="zh-CN"/>
                    </w:rPr>
                  </w:pPr>
                  <w:r>
                    <w:rPr>
                      <w:rFonts w:hint="eastAsia" w:asciiTheme="minorEastAsia" w:hAnsiTheme="minorEastAsia" w:eastAsiaTheme="minorEastAsia" w:cstheme="minorEastAsia"/>
                      <w:color w:val="000000"/>
                      <w:kern w:val="0"/>
                      <w:sz w:val="16"/>
                      <w:szCs w:val="16"/>
                      <w:lang w:val="en-US" w:eastAsia="zh-CN"/>
                    </w:rPr>
                    <w:t>0</w:t>
                  </w: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70</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管理学原理</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1</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71</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体育管理学</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p>
              </w:tc>
              <w:tc>
                <w:tcPr>
                  <w:tcW w:w="472"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72</w:t>
                  </w:r>
                </w:p>
              </w:tc>
              <w:tc>
                <w:tcPr>
                  <w:tcW w:w="656"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p>
              </w:tc>
              <w:tc>
                <w:tcPr>
                  <w:tcW w:w="20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体育市场营销</w:t>
                  </w:r>
                </w:p>
              </w:tc>
              <w:tc>
                <w:tcPr>
                  <w:tcW w:w="385" w:type="dxa"/>
                  <w:tcBorders>
                    <w:top w:val="nil"/>
                    <w:left w:val="nil"/>
                    <w:bottom w:val="single" w:color="auto" w:sz="4" w:space="0"/>
                    <w:right w:val="single" w:color="auto" w:sz="4" w:space="0"/>
                  </w:tcBorders>
                  <w:vAlign w:val="center"/>
                </w:tcPr>
                <w:p>
                  <w:pPr>
                    <w:widowControl/>
                    <w:jc w:val="righ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3</w:t>
                  </w:r>
                </w:p>
              </w:tc>
              <w:tc>
                <w:tcPr>
                  <w:tcW w:w="804"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统设</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必修</w:t>
                  </w:r>
                </w:p>
              </w:tc>
              <w:tc>
                <w:tcPr>
                  <w:tcW w:w="69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2</w:t>
                  </w:r>
                </w:p>
              </w:tc>
              <w:tc>
                <w:tcPr>
                  <w:tcW w:w="55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总部</w:t>
                  </w:r>
                </w:p>
              </w:tc>
            </w:tr>
          </w:tbl>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八、支持服务能力</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1.师资队伍</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所有必修课程，均配备具有丰富教学经验的优秀教师担任课程主编主讲。本专业采取分部共建的模式，共享优势资源建设必修课程与选修课程。总部与分部共同配备教师32人,其中正高级职称教师10人，副高级职称教师12人，硕士及以上学位25人，15名教师有海外访学经历。分部为本专业的必修课配备专业责任教师、课程责任教师、课程辅导教师和实验教师等，以满足教学需要。</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2.教学过程</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过程。国家开放大学教学工作由总部、分部、学院和学习中心共同完成。教师教学过程可分解为教学准备、学习组织、学习评价三个主要环节，以及贯穿全过程的支持服务、咨询答疑、教学研讨和教学反思。根据每个环节的特点、教学任务和主要职责的变化可分解为若干子过程，由此与学生选课、制定学习计划、查看学习资源、参加学习活动、参加学习辅导、咨询答疑、完成作业、参加考试等学习过程相对应。以上教学过程可通过教师单独完成，也可通过网络教学团队来执行和完成。</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3.教学资源</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将为学生提供丰富的专业学习资源。为了适应远程开放教育学习特点，总部与分部均将建设多种类型的教学资源，如专业文字教材、视频教材、音频教材、直播课堂、网络课程、微课程等，多样化的学习资源能够有效满足学生日渐增长的移动学习的需要。</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4.设施设备</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设施。开设本专业的分部、地方学院、学习中心应配备适应开放教育学习使用的各种硬件支撑条件，包括视听教室、多媒体、网络和计算机教室、语音教室、拥有卫星电视收视系统设备、教学实习基地、讨论和辅导教室等。</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平台。国家开放大学学习网（www.ouchn.cn）是开放大学网上教学平台。教学平台上每一个注册学生都有学生空间，所学习的课程都放在学生空间中。网络课程具有支持网上学习、提交作业、自主测试、实时和非实时辅导答疑、论坛等功能，满足教学互动、协作学习等需要。</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理平台。国家开放大学有教学管理平台和考试管理平台的网络平台，能够满足系统教学管理需要，教学管理规范、有效。此外，国家开放大学学习网也具有“教学数据统计查询”、“管理监控”等教学管理的功能，可以记录学生网上学习过程和学习行为，提供教学管理数据。</w:t>
            </w:r>
          </w:p>
          <w:p>
            <w:pPr>
              <w:spacing w:line="360" w:lineRule="auto"/>
              <w:ind w:firstLine="480" w:firstLineChars="200"/>
              <w:rPr>
                <w:rFonts w:hint="eastAsia" w:asciiTheme="minorEastAsia" w:hAnsiTheme="minorEastAsia" w:eastAsiaTheme="minorEastAsia" w:cstheme="minorEastAsia"/>
                <w:sz w:val="24"/>
                <w:szCs w:val="24"/>
              </w:rPr>
            </w:pPr>
            <w:bookmarkStart w:id="8" w:name="_Toc451696756"/>
            <w:r>
              <w:rPr>
                <w:rFonts w:hint="eastAsia" w:asciiTheme="minorEastAsia" w:hAnsiTheme="minorEastAsia" w:eastAsiaTheme="minorEastAsia" w:cstheme="minorEastAsia"/>
                <w:sz w:val="24"/>
                <w:szCs w:val="24"/>
              </w:rPr>
              <w:t>教学实践基地</w:t>
            </w:r>
            <w:bookmarkEnd w:id="8"/>
            <w:r>
              <w:rPr>
                <w:rFonts w:hint="eastAsia" w:asciiTheme="minorEastAsia" w:hAnsiTheme="minorEastAsia" w:eastAsiaTheme="minorEastAsia" w:cstheme="minorEastAsia"/>
                <w:sz w:val="24"/>
                <w:szCs w:val="24"/>
              </w:rPr>
              <w:t>。为了加强实践教学，各分部可充分利用当地资源开展多样的实践活动。鼓励有条件的分部、学院和学习中心与当地体育院校、企事业机构合作建立教学实验基地。此外，大比例学生为在职人员，学生本身的岗位具备实践条件也可进行随岗实践。</w:t>
            </w:r>
          </w:p>
          <w:p>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图书资料与学习资源。总部、分部、学院和有条件的学习中心都建有图书馆和数字图书馆。其中总部图书馆藏有本专业中文图书（含电子图书）15万册，外文书籍1.1万册。另外，专业期刊也很丰富，包括中文期刊1280种，外文期刊26种。总部数字图书馆还配备了中国知网、万方知识服务平台、龙源期刊网、维普期刊文献、博看社科期刊、超星数字图书馆电子书、超星学术视频、方正Apabi电子书、中国大百科全书、EBM外文电子书等，提供了丰富的数字图书资源。全国国家开放大学的学生和教职工都可以通过使用远程访问软件“国开阅读通”随时上网阅读数字图书和查阅资料。</w:t>
            </w:r>
          </w:p>
        </w:tc>
      </w:tr>
    </w:tbl>
    <w:p>
      <w:pPr>
        <w:widowControl/>
        <w:jc w:val="left"/>
        <w:rPr>
          <w:rFonts w:hint="eastAsia" w:asciiTheme="minorEastAsia" w:hAnsiTheme="minorEastAsia" w:eastAsiaTheme="minorEastAsia" w:cstheme="minorEastAsia"/>
          <w:sz w:val="32"/>
          <w:szCs w:val="32"/>
        </w:rPr>
      </w:pPr>
    </w:p>
    <w:p>
      <w:pPr>
        <w:widowControl/>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br w:type="page"/>
      </w:r>
    </w:p>
    <w:p>
      <w:pPr>
        <w:spacing w:after="156" w:afterLines="50" w:line="580" w:lineRule="exact"/>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增设专业专任教师情况</w:t>
      </w:r>
    </w:p>
    <w:tbl>
      <w:tblPr>
        <w:tblStyle w:val="9"/>
        <w:tblW w:w="555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82"/>
        <w:gridCol w:w="783"/>
        <w:gridCol w:w="522"/>
        <w:gridCol w:w="510"/>
        <w:gridCol w:w="1043"/>
        <w:gridCol w:w="1325"/>
        <w:gridCol w:w="1490"/>
        <w:gridCol w:w="1150"/>
        <w:gridCol w:w="957"/>
        <w:gridCol w:w="10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性别</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年龄</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专业技术职务</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第一学历毕业学校、专业、学位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最后学历毕业学校、专业、学位</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现从事</w:t>
            </w:r>
          </w:p>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拟任</w:t>
            </w:r>
          </w:p>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课程</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陈碧华</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湖南文理学院、体育教育</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华东师范大学、体育教育、学士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林志军</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武汉体育学院、体育教育、学士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武汉体育学院、体育教育、硕士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曾伟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重庆大学、软件工程、硕士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白晋湘</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华中科技大学、高校管理、博士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陈捷</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湖南城市学院、体育教育</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北京体育大学、体育教育、学士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王可</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47</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武汉体育学院、体育教育、学士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武汉体育学院、体育教育、硕士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宋彩珍</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吉首大学、体育教育、学士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吉首大学、体育教育、硕士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杨世勇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向勇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四川大学、体育教育专业、博士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蒋相和</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四川大学、体育教育专业、学士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四川大学、体育教育专业、博士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郭贤锋</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37</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湖南理工学院、体育教育、学士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中南大学、MPA硕士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陈晓华</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熊纯子</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成都体育学院、运动训练、学士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14</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李玲</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58</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成都体育学院，排球专业，教育学学士学位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成都体育学院，排球专业，教育学学士学位</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15</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江霞</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55</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成都体育学院、体育田径专业、学士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成都体育学院、体育田径专业、学士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16</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周强猛</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湖南城市学院、体育教育</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17</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王世伟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38</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成都体育学院、体育训练学、学士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北京体育大学、体育训练学、博士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18</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蒋徐万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43</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成都体育学院、体育系体育专业、获得学士学位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成都体育学院、体育系体育专业、硕士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王洪珅</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成都体育学院、体育教育训练学专业、 教育学硕士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温晓媛</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成都体育学院、体育系体育专业、硕士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刘正杰</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北京体育大学、体育教育训练、硕士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段宏伟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西安体育学院</w:t>
            </w:r>
          </w:p>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西安体育学院</w:t>
            </w:r>
          </w:p>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王国鹏</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助理研究员</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北京体育大学、运动训练学、教育学学士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北京体育大学、体育教育训练学、教育学硕士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合作办</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足球</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24</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轩永昌</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助理研究员</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成都体育学院、体育教育训练学专业、 教育学硕士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25</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张斯</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湖南师范大学、民族传统体育、学士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湖南师范大学、民族传统体育、硕士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民族传统体育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26</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邱颖俊</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31</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湖南科技大学、体育教育、学士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广西师范大学、运动训练、硕士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27</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胡煜</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湖南师范大学、体育教育、硕士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28</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薛飞娟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31</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中学中级</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吉首大学、体育教育、学士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吉首大学、体育教育、硕士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29</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付又仁</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成都体育学院、体育教育专业、学士学学士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成都体育学院、体育教育专业、教育学学士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刘祎</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讲师</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四川师范大学、体育教育、学士</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四川师范大学、体育教育、学士</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龙游</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38</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成都体育学院、体教专业、学士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韩宏思</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西安体育学院</w:t>
            </w:r>
          </w:p>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西安体育学院</w:t>
            </w:r>
          </w:p>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游泳</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周文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助理研究员</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许昌学院体育教育</w:t>
            </w:r>
          </w:p>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北京体育大学</w:t>
            </w:r>
          </w:p>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p>
        </w:tc>
      </w:tr>
    </w:tbl>
    <w:p>
      <w:pPr>
        <w:spacing w:after="156" w:afterLines="50" w:line="580" w:lineRule="exact"/>
        <w:jc w:val="center"/>
        <w:rPr>
          <w:rFonts w:hint="eastAsia" w:asciiTheme="minorEastAsia" w:hAnsiTheme="minorEastAsia" w:eastAsiaTheme="minorEastAsia" w:cstheme="minorEastAsia"/>
          <w:sz w:val="32"/>
          <w:szCs w:val="32"/>
        </w:rPr>
      </w:pPr>
    </w:p>
    <w:p>
      <w:pPr>
        <w:widowControl/>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br w:type="page"/>
      </w:r>
    </w:p>
    <w:p>
      <w:pPr>
        <w:spacing w:after="156" w:afterLines="50" w:line="580" w:lineRule="exact"/>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增设专业计划开设的主要课程</w:t>
      </w:r>
    </w:p>
    <w:tbl>
      <w:tblPr>
        <w:tblStyle w:val="9"/>
        <w:tblW w:w="527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5"/>
        <w:gridCol w:w="3071"/>
        <w:gridCol w:w="1114"/>
        <w:gridCol w:w="1152"/>
        <w:gridCol w:w="2026"/>
        <w:gridCol w:w="11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2" w:hRule="atLeas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课程名称</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w:t>
            </w:r>
          </w:p>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总学时</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w:t>
            </w:r>
          </w:p>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周学时</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授课教师</w:t>
            </w:r>
          </w:p>
        </w:tc>
        <w:tc>
          <w:tcPr>
            <w:tcW w:w="112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授课</w:t>
            </w:r>
          </w:p>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社会体育概论</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陈碧华</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社区体育导论</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林志军</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体育社会学</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曾伟</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运动项目理论与实践</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白晋湘</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体育俱乐部管理</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陈捷</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健康评价与运动处方</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王可</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运动解剖学</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宋彩珍</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运动生理学</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杨世勇</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体育保健学</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向勇</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社会心理学</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蒋相和</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管理心理学</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郭贤锋</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体育设施与管理</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薛飞娟</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体育课程与教学论</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付又仁</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管理学原理（补）</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刘祎</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体育管理学（补）</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龙游</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495"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307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体育市场营销（补）</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15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26"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韩宏思</w:t>
            </w:r>
          </w:p>
        </w:tc>
        <w:tc>
          <w:tcPr>
            <w:tcW w:w="1124"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r>
    </w:tbl>
    <w:p>
      <w:pPr>
        <w:spacing w:line="580" w:lineRule="exact"/>
        <w:rPr>
          <w:rFonts w:hint="eastAsia" w:asciiTheme="minorEastAsia" w:hAnsiTheme="minorEastAsia" w:eastAsiaTheme="minorEastAsia" w:cstheme="minorEastAsia"/>
          <w:szCs w:val="24"/>
        </w:rPr>
      </w:pPr>
    </w:p>
    <w:p>
      <w:pPr>
        <w:widowControl/>
        <w:jc w:val="left"/>
        <w:rPr>
          <w:rFonts w:hint="eastAsia" w:asciiTheme="minorEastAsia" w:hAnsiTheme="minorEastAsia" w:eastAsiaTheme="minorEastAsia" w:cstheme="minorEastAsia"/>
          <w:bCs/>
          <w:sz w:val="32"/>
          <w:szCs w:val="32"/>
        </w:rPr>
      </w:pPr>
      <w:r>
        <w:rPr>
          <w:rFonts w:hint="eastAsia" w:asciiTheme="minorEastAsia" w:hAnsiTheme="minorEastAsia" w:eastAsiaTheme="minorEastAsia" w:cstheme="minorEastAsia"/>
          <w:bCs/>
          <w:sz w:val="32"/>
          <w:szCs w:val="32"/>
        </w:rPr>
        <w:br w:type="page"/>
      </w:r>
    </w:p>
    <w:p>
      <w:pPr>
        <w:spacing w:after="156" w:afterLines="50" w:line="580" w:lineRule="exact"/>
        <w:jc w:val="center"/>
        <w:rPr>
          <w:rFonts w:hint="eastAsia" w:asciiTheme="minorEastAsia" w:hAnsiTheme="minorEastAsia" w:eastAsiaTheme="minorEastAsia" w:cstheme="minorEastAsia"/>
          <w:bCs/>
          <w:sz w:val="32"/>
          <w:szCs w:val="32"/>
        </w:rPr>
      </w:pPr>
      <w:r>
        <w:rPr>
          <w:rFonts w:hint="eastAsia" w:asciiTheme="minorEastAsia" w:hAnsiTheme="minorEastAsia" w:eastAsiaTheme="minorEastAsia" w:cstheme="minorEastAsia"/>
          <w:bCs/>
          <w:sz w:val="32"/>
          <w:szCs w:val="32"/>
        </w:rPr>
        <w:t>增设专业基本办学条件</w:t>
      </w:r>
    </w:p>
    <w:tbl>
      <w:tblPr>
        <w:tblStyle w:val="9"/>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570"/>
        <w:gridCol w:w="896"/>
        <w:gridCol w:w="894"/>
        <w:gridCol w:w="1612"/>
        <w:gridCol w:w="377"/>
        <w:gridCol w:w="25"/>
        <w:gridCol w:w="496"/>
        <w:gridCol w:w="1044"/>
        <w:gridCol w:w="695"/>
        <w:gridCol w:w="576"/>
        <w:gridCol w:w="650"/>
        <w:gridCol w:w="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专业名称</w:t>
            </w:r>
          </w:p>
        </w:tc>
        <w:tc>
          <w:tcPr>
            <w:tcW w:w="4303" w:type="dxa"/>
            <w:gridSpan w:val="6"/>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社会体育指导与管理</w:t>
            </w:r>
          </w:p>
        </w:tc>
        <w:tc>
          <w:tcPr>
            <w:tcW w:w="104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开办经费</w:t>
            </w:r>
          </w:p>
        </w:tc>
        <w:tc>
          <w:tcPr>
            <w:tcW w:w="2446"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2"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申报专业副高及以上职称（在岗）人数</w:t>
            </w:r>
          </w:p>
        </w:tc>
        <w:tc>
          <w:tcPr>
            <w:tcW w:w="894" w:type="dxa"/>
            <w:tcBorders>
              <w:top w:val="single" w:color="auto" w:sz="4" w:space="0"/>
              <w:left w:val="single" w:color="auto" w:sz="4" w:space="0"/>
              <w:bottom w:val="single" w:color="auto" w:sz="4" w:space="0"/>
              <w:right w:val="single" w:color="auto" w:sz="4" w:space="0"/>
            </w:tcBorders>
          </w:tcPr>
          <w:p>
            <w:pPr>
              <w:spacing w:line="320" w:lineRule="exac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180</w:t>
            </w:r>
          </w:p>
        </w:tc>
        <w:tc>
          <w:tcPr>
            <w:tcW w:w="16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其中该专业</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专职在岗人数</w:t>
            </w:r>
          </w:p>
        </w:tc>
        <w:tc>
          <w:tcPr>
            <w:tcW w:w="898"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160</w:t>
            </w:r>
          </w:p>
        </w:tc>
        <w:tc>
          <w:tcPr>
            <w:tcW w:w="104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其中校内</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兼职人数</w:t>
            </w:r>
          </w:p>
        </w:tc>
        <w:tc>
          <w:tcPr>
            <w:tcW w:w="6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160</w:t>
            </w:r>
          </w:p>
        </w:tc>
        <w:tc>
          <w:tcPr>
            <w:tcW w:w="122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其中校外兼职人数</w:t>
            </w:r>
          </w:p>
        </w:tc>
        <w:tc>
          <w:tcPr>
            <w:tcW w:w="524" w:type="dxa"/>
            <w:tcBorders>
              <w:top w:val="single" w:color="auto" w:sz="4" w:space="0"/>
              <w:left w:val="single" w:color="auto" w:sz="4" w:space="0"/>
              <w:bottom w:val="single" w:color="auto" w:sz="4" w:space="0"/>
              <w:right w:val="single" w:color="auto" w:sz="4" w:space="0"/>
            </w:tcBorders>
          </w:tcPr>
          <w:p>
            <w:pPr>
              <w:spacing w:line="320" w:lineRule="exac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2"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可用于新专业的</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教学图书（万册）</w:t>
            </w:r>
          </w:p>
        </w:tc>
        <w:tc>
          <w:tcPr>
            <w:tcW w:w="894" w:type="dxa"/>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w:t>
            </w:r>
          </w:p>
        </w:tc>
        <w:tc>
          <w:tcPr>
            <w:tcW w:w="2016"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可用于该专业的</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教学实验设备</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（千元以上）</w:t>
            </w:r>
          </w:p>
        </w:tc>
        <w:tc>
          <w:tcPr>
            <w:tcW w:w="1541"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 w:val="18"/>
                <w:szCs w:val="24"/>
              </w:rPr>
            </w:pPr>
            <w:r>
              <w:rPr>
                <w:rFonts w:hint="eastAsia" w:asciiTheme="minorEastAsia" w:hAnsiTheme="minorEastAsia" w:eastAsiaTheme="minorEastAsia" w:cstheme="minorEastAsia"/>
                <w:sz w:val="18"/>
                <w:szCs w:val="24"/>
              </w:rPr>
              <w:t>55（台/件）</w:t>
            </w:r>
          </w:p>
        </w:tc>
        <w:tc>
          <w:tcPr>
            <w:tcW w:w="1271"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总价值</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（万元）</w:t>
            </w:r>
          </w:p>
        </w:tc>
        <w:tc>
          <w:tcPr>
            <w:tcW w:w="1175"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100万（不含场馆基础设施）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4" w:type="dxa"/>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序</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号</w:t>
            </w:r>
          </w:p>
        </w:tc>
        <w:tc>
          <w:tcPr>
            <w:tcW w:w="4378" w:type="dxa"/>
            <w:gridSpan w:val="6"/>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主要教学设备名称（限20项）</w:t>
            </w:r>
          </w:p>
        </w:tc>
        <w:tc>
          <w:tcPr>
            <w:tcW w:w="1541" w:type="dxa"/>
            <w:gridSpan w:val="2"/>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型号</w:t>
            </w:r>
          </w:p>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规格</w:t>
            </w:r>
          </w:p>
        </w:tc>
        <w:tc>
          <w:tcPr>
            <w:tcW w:w="695" w:type="dxa"/>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 w:val="18"/>
                <w:szCs w:val="24"/>
              </w:rPr>
            </w:pPr>
            <w:r>
              <w:rPr>
                <w:rFonts w:hint="eastAsia" w:asciiTheme="minorEastAsia" w:hAnsiTheme="minorEastAsia" w:eastAsiaTheme="minorEastAsia" w:cstheme="minorEastAsia"/>
                <w:sz w:val="18"/>
                <w:szCs w:val="24"/>
              </w:rPr>
              <w:t>台(件)</w:t>
            </w:r>
          </w:p>
        </w:tc>
        <w:tc>
          <w:tcPr>
            <w:tcW w:w="1751" w:type="dxa"/>
            <w:gridSpan w:val="3"/>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购入时间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电子显示屏</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2.55平方米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46块</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2015年-—2018年年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智慧教室</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53间</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3</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VR教室</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10间</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羽毛球场及配套器材设备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2015年-2016年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5</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田径场及配套器材设备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400米标准跑道</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2004年-2010年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6</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足球场及配套器材设备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2004年2010年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7</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网球场及配套器材设备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8</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室内健身房及配套器材设备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4间</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2010年-2017年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9</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形体房及配套器材设备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90平方米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4间</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10</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学生体质测试房及配套器材设备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90平方米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2间</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11</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武术场地及配套器材设备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体操练习小场地及配套器材设备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80平方米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8个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2015年-2016年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13</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跆拳道场地及配套器材设备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14</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室外篮球场及配套器材设备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6个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15</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室内篮球球场及配套器材设备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9个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16</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室内排球场及配套器材设备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5个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17</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室内乒乓球房及配套器材设备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4间</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18</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体育理论教室及配套器材设备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32平方米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10间</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19</w:t>
            </w:r>
          </w:p>
        </w:tc>
        <w:tc>
          <w:tcPr>
            <w:tcW w:w="4353"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体育图书阅览室及配套器材设备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1个</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w:t>
            </w:r>
          </w:p>
        </w:tc>
        <w:tc>
          <w:tcPr>
            <w:tcW w:w="4378" w:type="dxa"/>
            <w:gridSpan w:val="6"/>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多功能体育艺术馆及配套器材设备</w:t>
            </w:r>
          </w:p>
        </w:tc>
        <w:tc>
          <w:tcPr>
            <w:tcW w:w="1541"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1200平方米</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1座</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2004年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4" w:type="dxa"/>
            <w:tcBorders>
              <w:top w:val="single" w:color="auto" w:sz="4" w:space="0"/>
              <w:left w:val="single" w:color="auto" w:sz="4" w:space="0"/>
              <w:bottom w:val="single" w:color="auto" w:sz="4" w:space="0"/>
              <w:right w:val="single" w:color="auto" w:sz="4" w:space="0"/>
            </w:tcBorders>
          </w:tcPr>
          <w:p>
            <w:pPr>
              <w:spacing w:line="320" w:lineRule="exac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21</w:t>
            </w:r>
          </w:p>
        </w:tc>
        <w:tc>
          <w:tcPr>
            <w:tcW w:w="4378" w:type="dxa"/>
            <w:gridSpan w:val="6"/>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大型比赛体育竞赛管理系统及配套器材设备</w:t>
            </w:r>
          </w:p>
        </w:tc>
        <w:tc>
          <w:tcPr>
            <w:tcW w:w="1541"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标准</w:t>
            </w:r>
          </w:p>
        </w:tc>
        <w:tc>
          <w:tcPr>
            <w:tcW w:w="695"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1套</w:t>
            </w:r>
          </w:p>
        </w:tc>
        <w:tc>
          <w:tcPr>
            <w:tcW w:w="175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2019年</w:t>
            </w:r>
          </w:p>
        </w:tc>
      </w:tr>
    </w:tbl>
    <w:p>
      <w:pPr>
        <w:spacing w:line="580" w:lineRule="exact"/>
        <w:rPr>
          <w:rFonts w:hint="eastAsia" w:asciiTheme="minorEastAsia" w:hAnsiTheme="minorEastAsia" w:eastAsiaTheme="minorEastAsia" w:cstheme="minorEastAsia"/>
          <w:bCs/>
          <w:sz w:val="32"/>
          <w:szCs w:val="32"/>
        </w:rPr>
      </w:pPr>
    </w:p>
    <w:sectPr>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72394"/>
      <w:docPartObj>
        <w:docPartGallery w:val="autotext"/>
      </w:docPartObj>
    </w:sdtPr>
    <w:sdtContent>
      <w:p>
        <w:pPr>
          <w:pStyle w:val="6"/>
          <w:jc w:val="center"/>
        </w:pPr>
        <w:r>
          <w:fldChar w:fldCharType="begin"/>
        </w:r>
        <w:r>
          <w:instrText xml:space="preserve"> PAGE   \* MERGEFORMAT </w:instrText>
        </w:r>
        <w:r>
          <w:fldChar w:fldCharType="separate"/>
        </w:r>
        <w:r>
          <w:rPr>
            <w:lang w:val="zh-CN"/>
          </w:rPr>
          <w:t>29</w:t>
        </w:r>
        <w:r>
          <w:rPr>
            <w:lang w:val="zh-C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590A8E"/>
    <w:multiLevelType w:val="multilevel"/>
    <w:tmpl w:val="76590A8E"/>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10FFA"/>
    <w:rsid w:val="00011289"/>
    <w:rsid w:val="00011695"/>
    <w:rsid w:val="000117B4"/>
    <w:rsid w:val="00015DBD"/>
    <w:rsid w:val="000216B2"/>
    <w:rsid w:val="00027D54"/>
    <w:rsid w:val="000339FB"/>
    <w:rsid w:val="00034335"/>
    <w:rsid w:val="000352BB"/>
    <w:rsid w:val="00037E22"/>
    <w:rsid w:val="000509F4"/>
    <w:rsid w:val="000536D6"/>
    <w:rsid w:val="0005643A"/>
    <w:rsid w:val="00061B02"/>
    <w:rsid w:val="00066635"/>
    <w:rsid w:val="00067940"/>
    <w:rsid w:val="00072EDE"/>
    <w:rsid w:val="000800E7"/>
    <w:rsid w:val="000810F4"/>
    <w:rsid w:val="000811DC"/>
    <w:rsid w:val="00082142"/>
    <w:rsid w:val="00082DC0"/>
    <w:rsid w:val="00084EB7"/>
    <w:rsid w:val="0008730B"/>
    <w:rsid w:val="0009051F"/>
    <w:rsid w:val="00093DF0"/>
    <w:rsid w:val="00094885"/>
    <w:rsid w:val="000956B0"/>
    <w:rsid w:val="00096422"/>
    <w:rsid w:val="000A1E20"/>
    <w:rsid w:val="000A5B9F"/>
    <w:rsid w:val="000B1313"/>
    <w:rsid w:val="000B210E"/>
    <w:rsid w:val="000B357A"/>
    <w:rsid w:val="000C1901"/>
    <w:rsid w:val="000C1CC2"/>
    <w:rsid w:val="000C2846"/>
    <w:rsid w:val="000C4BC2"/>
    <w:rsid w:val="000C6E00"/>
    <w:rsid w:val="000D4CD2"/>
    <w:rsid w:val="000D60E6"/>
    <w:rsid w:val="000D7144"/>
    <w:rsid w:val="000E0900"/>
    <w:rsid w:val="000E1922"/>
    <w:rsid w:val="000E7C8F"/>
    <w:rsid w:val="000F233C"/>
    <w:rsid w:val="000F3730"/>
    <w:rsid w:val="000F7F7D"/>
    <w:rsid w:val="001013CC"/>
    <w:rsid w:val="00101407"/>
    <w:rsid w:val="00101502"/>
    <w:rsid w:val="00101837"/>
    <w:rsid w:val="001049CC"/>
    <w:rsid w:val="00104A73"/>
    <w:rsid w:val="0010600D"/>
    <w:rsid w:val="00106151"/>
    <w:rsid w:val="00106164"/>
    <w:rsid w:val="0011001A"/>
    <w:rsid w:val="001139EB"/>
    <w:rsid w:val="00114AC1"/>
    <w:rsid w:val="0011752D"/>
    <w:rsid w:val="0012242E"/>
    <w:rsid w:val="00122AD9"/>
    <w:rsid w:val="00123234"/>
    <w:rsid w:val="00123D86"/>
    <w:rsid w:val="00124CB4"/>
    <w:rsid w:val="00130848"/>
    <w:rsid w:val="00130C5A"/>
    <w:rsid w:val="00132255"/>
    <w:rsid w:val="00133A8A"/>
    <w:rsid w:val="00133AAF"/>
    <w:rsid w:val="00133C94"/>
    <w:rsid w:val="00134DC5"/>
    <w:rsid w:val="00135495"/>
    <w:rsid w:val="001364F2"/>
    <w:rsid w:val="001434C7"/>
    <w:rsid w:val="00143FB4"/>
    <w:rsid w:val="00145DC8"/>
    <w:rsid w:val="00145F67"/>
    <w:rsid w:val="00147228"/>
    <w:rsid w:val="001537D3"/>
    <w:rsid w:val="0016407C"/>
    <w:rsid w:val="001717B2"/>
    <w:rsid w:val="001741AF"/>
    <w:rsid w:val="001778FA"/>
    <w:rsid w:val="00185620"/>
    <w:rsid w:val="00185A49"/>
    <w:rsid w:val="00186013"/>
    <w:rsid w:val="001934F1"/>
    <w:rsid w:val="00195B10"/>
    <w:rsid w:val="00197C77"/>
    <w:rsid w:val="001A73F5"/>
    <w:rsid w:val="001A7EEB"/>
    <w:rsid w:val="001B16A3"/>
    <w:rsid w:val="001B529D"/>
    <w:rsid w:val="001C2E1E"/>
    <w:rsid w:val="001C46E8"/>
    <w:rsid w:val="001D23A3"/>
    <w:rsid w:val="001E0E97"/>
    <w:rsid w:val="001E1541"/>
    <w:rsid w:val="001E2DC3"/>
    <w:rsid w:val="001E3B15"/>
    <w:rsid w:val="001E40E6"/>
    <w:rsid w:val="001E784C"/>
    <w:rsid w:val="001F08E2"/>
    <w:rsid w:val="001F369D"/>
    <w:rsid w:val="001F5EAC"/>
    <w:rsid w:val="001F666B"/>
    <w:rsid w:val="0020166E"/>
    <w:rsid w:val="00201BDD"/>
    <w:rsid w:val="00203068"/>
    <w:rsid w:val="00205ED8"/>
    <w:rsid w:val="00206316"/>
    <w:rsid w:val="002168E1"/>
    <w:rsid w:val="00216E69"/>
    <w:rsid w:val="00217D2A"/>
    <w:rsid w:val="00220C3B"/>
    <w:rsid w:val="0022180A"/>
    <w:rsid w:val="0022225F"/>
    <w:rsid w:val="002226A2"/>
    <w:rsid w:val="00222DFF"/>
    <w:rsid w:val="002230BB"/>
    <w:rsid w:val="00223337"/>
    <w:rsid w:val="00224B90"/>
    <w:rsid w:val="00225E83"/>
    <w:rsid w:val="002267D5"/>
    <w:rsid w:val="00230E9F"/>
    <w:rsid w:val="002316BA"/>
    <w:rsid w:val="002320F8"/>
    <w:rsid w:val="00234488"/>
    <w:rsid w:val="00236AEF"/>
    <w:rsid w:val="0024075D"/>
    <w:rsid w:val="00246491"/>
    <w:rsid w:val="0025040F"/>
    <w:rsid w:val="00250F9C"/>
    <w:rsid w:val="002522FD"/>
    <w:rsid w:val="00253C2D"/>
    <w:rsid w:val="002542A2"/>
    <w:rsid w:val="002545F6"/>
    <w:rsid w:val="00260CB7"/>
    <w:rsid w:val="00262104"/>
    <w:rsid w:val="0026321B"/>
    <w:rsid w:val="00267071"/>
    <w:rsid w:val="00270295"/>
    <w:rsid w:val="00270FA3"/>
    <w:rsid w:val="0027538F"/>
    <w:rsid w:val="0027570D"/>
    <w:rsid w:val="002825FD"/>
    <w:rsid w:val="00283A89"/>
    <w:rsid w:val="00286670"/>
    <w:rsid w:val="00286C19"/>
    <w:rsid w:val="00286FCB"/>
    <w:rsid w:val="002915E0"/>
    <w:rsid w:val="00293F92"/>
    <w:rsid w:val="002A06CD"/>
    <w:rsid w:val="002A2C04"/>
    <w:rsid w:val="002A4613"/>
    <w:rsid w:val="002A661B"/>
    <w:rsid w:val="002B0588"/>
    <w:rsid w:val="002B1F37"/>
    <w:rsid w:val="002B4921"/>
    <w:rsid w:val="002B590C"/>
    <w:rsid w:val="002B6593"/>
    <w:rsid w:val="002B6775"/>
    <w:rsid w:val="002B680C"/>
    <w:rsid w:val="002B7F03"/>
    <w:rsid w:val="002C74D5"/>
    <w:rsid w:val="002C778E"/>
    <w:rsid w:val="002D2A3C"/>
    <w:rsid w:val="002D33C5"/>
    <w:rsid w:val="002D3D4F"/>
    <w:rsid w:val="002E0A63"/>
    <w:rsid w:val="002E6C1B"/>
    <w:rsid w:val="002F05CA"/>
    <w:rsid w:val="002F378E"/>
    <w:rsid w:val="002F41A0"/>
    <w:rsid w:val="003078C9"/>
    <w:rsid w:val="00310254"/>
    <w:rsid w:val="00311262"/>
    <w:rsid w:val="00311D30"/>
    <w:rsid w:val="00313754"/>
    <w:rsid w:val="0031546D"/>
    <w:rsid w:val="00315750"/>
    <w:rsid w:val="00317374"/>
    <w:rsid w:val="003200A0"/>
    <w:rsid w:val="00320333"/>
    <w:rsid w:val="00325706"/>
    <w:rsid w:val="00325BCB"/>
    <w:rsid w:val="003325E1"/>
    <w:rsid w:val="00333985"/>
    <w:rsid w:val="00334E82"/>
    <w:rsid w:val="0034080C"/>
    <w:rsid w:val="003426AF"/>
    <w:rsid w:val="003432E1"/>
    <w:rsid w:val="00343C54"/>
    <w:rsid w:val="00344D94"/>
    <w:rsid w:val="00347A7C"/>
    <w:rsid w:val="003507CF"/>
    <w:rsid w:val="00350F27"/>
    <w:rsid w:val="00351658"/>
    <w:rsid w:val="00360887"/>
    <w:rsid w:val="00362825"/>
    <w:rsid w:val="00363053"/>
    <w:rsid w:val="003637F4"/>
    <w:rsid w:val="00367A2E"/>
    <w:rsid w:val="003724F6"/>
    <w:rsid w:val="003818C5"/>
    <w:rsid w:val="00382F05"/>
    <w:rsid w:val="00383FCA"/>
    <w:rsid w:val="003868C9"/>
    <w:rsid w:val="00390C5C"/>
    <w:rsid w:val="00390F45"/>
    <w:rsid w:val="00391C55"/>
    <w:rsid w:val="003947FA"/>
    <w:rsid w:val="00395DF2"/>
    <w:rsid w:val="003968B2"/>
    <w:rsid w:val="00397937"/>
    <w:rsid w:val="003A2F31"/>
    <w:rsid w:val="003A667A"/>
    <w:rsid w:val="003A6DED"/>
    <w:rsid w:val="003B42BE"/>
    <w:rsid w:val="003C26B3"/>
    <w:rsid w:val="003C2CAB"/>
    <w:rsid w:val="003C77F6"/>
    <w:rsid w:val="003D2A24"/>
    <w:rsid w:val="003D3653"/>
    <w:rsid w:val="003D4847"/>
    <w:rsid w:val="003D4C97"/>
    <w:rsid w:val="003E4404"/>
    <w:rsid w:val="003E5E31"/>
    <w:rsid w:val="003E6F42"/>
    <w:rsid w:val="003E7D7B"/>
    <w:rsid w:val="003F0910"/>
    <w:rsid w:val="003F115B"/>
    <w:rsid w:val="003F3EA3"/>
    <w:rsid w:val="00401292"/>
    <w:rsid w:val="00403DD0"/>
    <w:rsid w:val="0041081D"/>
    <w:rsid w:val="0041310F"/>
    <w:rsid w:val="004232EA"/>
    <w:rsid w:val="00423355"/>
    <w:rsid w:val="004237C7"/>
    <w:rsid w:val="00423CE4"/>
    <w:rsid w:val="00425AB9"/>
    <w:rsid w:val="00426980"/>
    <w:rsid w:val="00427B89"/>
    <w:rsid w:val="004309A6"/>
    <w:rsid w:val="00433C51"/>
    <w:rsid w:val="00436AA8"/>
    <w:rsid w:val="0044237B"/>
    <w:rsid w:val="004453A7"/>
    <w:rsid w:val="00447E2A"/>
    <w:rsid w:val="00451AFD"/>
    <w:rsid w:val="00452F52"/>
    <w:rsid w:val="004535CC"/>
    <w:rsid w:val="0045504E"/>
    <w:rsid w:val="00461D3F"/>
    <w:rsid w:val="004659B3"/>
    <w:rsid w:val="00471662"/>
    <w:rsid w:val="0047614D"/>
    <w:rsid w:val="00481B21"/>
    <w:rsid w:val="00482EE9"/>
    <w:rsid w:val="00483955"/>
    <w:rsid w:val="00490FD6"/>
    <w:rsid w:val="004912B3"/>
    <w:rsid w:val="00493626"/>
    <w:rsid w:val="00493900"/>
    <w:rsid w:val="004950BD"/>
    <w:rsid w:val="00495BE9"/>
    <w:rsid w:val="004A038B"/>
    <w:rsid w:val="004A4790"/>
    <w:rsid w:val="004A677A"/>
    <w:rsid w:val="004A7751"/>
    <w:rsid w:val="004B3C2A"/>
    <w:rsid w:val="004B509D"/>
    <w:rsid w:val="004B5509"/>
    <w:rsid w:val="004C3B82"/>
    <w:rsid w:val="004C3D50"/>
    <w:rsid w:val="004C744C"/>
    <w:rsid w:val="004C75B5"/>
    <w:rsid w:val="004D05F2"/>
    <w:rsid w:val="004D3674"/>
    <w:rsid w:val="004E49AE"/>
    <w:rsid w:val="004F169E"/>
    <w:rsid w:val="004F21BC"/>
    <w:rsid w:val="00503445"/>
    <w:rsid w:val="0050453D"/>
    <w:rsid w:val="00513FC8"/>
    <w:rsid w:val="00515370"/>
    <w:rsid w:val="005155B9"/>
    <w:rsid w:val="0051572E"/>
    <w:rsid w:val="00517761"/>
    <w:rsid w:val="00525A38"/>
    <w:rsid w:val="00533E96"/>
    <w:rsid w:val="00536316"/>
    <w:rsid w:val="00537A0F"/>
    <w:rsid w:val="0054511D"/>
    <w:rsid w:val="00550EF1"/>
    <w:rsid w:val="00551222"/>
    <w:rsid w:val="00553070"/>
    <w:rsid w:val="00554CF7"/>
    <w:rsid w:val="00557F36"/>
    <w:rsid w:val="00563B06"/>
    <w:rsid w:val="00565938"/>
    <w:rsid w:val="00566238"/>
    <w:rsid w:val="00567610"/>
    <w:rsid w:val="00567922"/>
    <w:rsid w:val="005738C4"/>
    <w:rsid w:val="00574268"/>
    <w:rsid w:val="00575E7D"/>
    <w:rsid w:val="005850C3"/>
    <w:rsid w:val="005859C6"/>
    <w:rsid w:val="005869D0"/>
    <w:rsid w:val="005914D7"/>
    <w:rsid w:val="00593E2E"/>
    <w:rsid w:val="005A5209"/>
    <w:rsid w:val="005A780A"/>
    <w:rsid w:val="005B21E5"/>
    <w:rsid w:val="005B3253"/>
    <w:rsid w:val="005B6DFD"/>
    <w:rsid w:val="005B6EF3"/>
    <w:rsid w:val="005B797E"/>
    <w:rsid w:val="005C3AD3"/>
    <w:rsid w:val="005C3D88"/>
    <w:rsid w:val="005C4F4B"/>
    <w:rsid w:val="005D124F"/>
    <w:rsid w:val="005D2DA1"/>
    <w:rsid w:val="005D40D7"/>
    <w:rsid w:val="005E022D"/>
    <w:rsid w:val="005E2C71"/>
    <w:rsid w:val="005E4EAD"/>
    <w:rsid w:val="005F0371"/>
    <w:rsid w:val="005F11C2"/>
    <w:rsid w:val="005F266F"/>
    <w:rsid w:val="00601373"/>
    <w:rsid w:val="00601586"/>
    <w:rsid w:val="006104F8"/>
    <w:rsid w:val="006114F3"/>
    <w:rsid w:val="00612B8F"/>
    <w:rsid w:val="006134FC"/>
    <w:rsid w:val="00617443"/>
    <w:rsid w:val="00617445"/>
    <w:rsid w:val="00620250"/>
    <w:rsid w:val="00623FE4"/>
    <w:rsid w:val="0062603E"/>
    <w:rsid w:val="006264F4"/>
    <w:rsid w:val="0063015C"/>
    <w:rsid w:val="006310B9"/>
    <w:rsid w:val="006324F8"/>
    <w:rsid w:val="00632BF8"/>
    <w:rsid w:val="00635C23"/>
    <w:rsid w:val="00643C20"/>
    <w:rsid w:val="00646AAC"/>
    <w:rsid w:val="0065185B"/>
    <w:rsid w:val="00653C4C"/>
    <w:rsid w:val="00657F55"/>
    <w:rsid w:val="0066108C"/>
    <w:rsid w:val="006611AE"/>
    <w:rsid w:val="00661DB2"/>
    <w:rsid w:val="00663824"/>
    <w:rsid w:val="00663B72"/>
    <w:rsid w:val="00667390"/>
    <w:rsid w:val="0066789A"/>
    <w:rsid w:val="00671530"/>
    <w:rsid w:val="00673A33"/>
    <w:rsid w:val="00677240"/>
    <w:rsid w:val="00681B96"/>
    <w:rsid w:val="00681F47"/>
    <w:rsid w:val="00687EA3"/>
    <w:rsid w:val="006A0C01"/>
    <w:rsid w:val="006A1739"/>
    <w:rsid w:val="006A22A0"/>
    <w:rsid w:val="006A416F"/>
    <w:rsid w:val="006A685A"/>
    <w:rsid w:val="006A7135"/>
    <w:rsid w:val="006B10FE"/>
    <w:rsid w:val="006B19C2"/>
    <w:rsid w:val="006B48B1"/>
    <w:rsid w:val="006B51EE"/>
    <w:rsid w:val="006C3DF6"/>
    <w:rsid w:val="006C6A67"/>
    <w:rsid w:val="006D4395"/>
    <w:rsid w:val="006E20ED"/>
    <w:rsid w:val="006E6FF6"/>
    <w:rsid w:val="006F0C0E"/>
    <w:rsid w:val="006F1D74"/>
    <w:rsid w:val="006F3986"/>
    <w:rsid w:val="006F3B5D"/>
    <w:rsid w:val="00705DA8"/>
    <w:rsid w:val="00721673"/>
    <w:rsid w:val="00724D99"/>
    <w:rsid w:val="007263F8"/>
    <w:rsid w:val="007343FC"/>
    <w:rsid w:val="00734654"/>
    <w:rsid w:val="0074065D"/>
    <w:rsid w:val="00740DC3"/>
    <w:rsid w:val="00741F44"/>
    <w:rsid w:val="00742B51"/>
    <w:rsid w:val="007433CD"/>
    <w:rsid w:val="00747B7D"/>
    <w:rsid w:val="00747CDA"/>
    <w:rsid w:val="0075180B"/>
    <w:rsid w:val="0076171E"/>
    <w:rsid w:val="00762EA5"/>
    <w:rsid w:val="0076504F"/>
    <w:rsid w:val="00766123"/>
    <w:rsid w:val="0077054F"/>
    <w:rsid w:val="007711D3"/>
    <w:rsid w:val="007715A3"/>
    <w:rsid w:val="00774725"/>
    <w:rsid w:val="00774D19"/>
    <w:rsid w:val="00782150"/>
    <w:rsid w:val="0078288C"/>
    <w:rsid w:val="00785008"/>
    <w:rsid w:val="00786BA6"/>
    <w:rsid w:val="00792D3E"/>
    <w:rsid w:val="007938B4"/>
    <w:rsid w:val="00794CF9"/>
    <w:rsid w:val="00795023"/>
    <w:rsid w:val="00795758"/>
    <w:rsid w:val="007960F6"/>
    <w:rsid w:val="007A1D59"/>
    <w:rsid w:val="007A1F7E"/>
    <w:rsid w:val="007A56A2"/>
    <w:rsid w:val="007A7B20"/>
    <w:rsid w:val="007B28D7"/>
    <w:rsid w:val="007B6247"/>
    <w:rsid w:val="007B7153"/>
    <w:rsid w:val="007C1C96"/>
    <w:rsid w:val="007C3079"/>
    <w:rsid w:val="007C5300"/>
    <w:rsid w:val="007D07F5"/>
    <w:rsid w:val="007D0F32"/>
    <w:rsid w:val="007E426C"/>
    <w:rsid w:val="007E7D88"/>
    <w:rsid w:val="007E7FCA"/>
    <w:rsid w:val="007F2214"/>
    <w:rsid w:val="007F42F8"/>
    <w:rsid w:val="007F4A87"/>
    <w:rsid w:val="007F60C1"/>
    <w:rsid w:val="00800444"/>
    <w:rsid w:val="00800C10"/>
    <w:rsid w:val="00800F71"/>
    <w:rsid w:val="00801125"/>
    <w:rsid w:val="0081148B"/>
    <w:rsid w:val="00811B35"/>
    <w:rsid w:val="008129EF"/>
    <w:rsid w:val="0081557B"/>
    <w:rsid w:val="008173A9"/>
    <w:rsid w:val="00822B5C"/>
    <w:rsid w:val="00823077"/>
    <w:rsid w:val="00827066"/>
    <w:rsid w:val="00827E91"/>
    <w:rsid w:val="00830088"/>
    <w:rsid w:val="00834D4D"/>
    <w:rsid w:val="00834EB4"/>
    <w:rsid w:val="008369FE"/>
    <w:rsid w:val="0084012A"/>
    <w:rsid w:val="008410BA"/>
    <w:rsid w:val="00844EB6"/>
    <w:rsid w:val="0084640C"/>
    <w:rsid w:val="00850E52"/>
    <w:rsid w:val="00854102"/>
    <w:rsid w:val="00856A88"/>
    <w:rsid w:val="00857813"/>
    <w:rsid w:val="008601F3"/>
    <w:rsid w:val="00864F37"/>
    <w:rsid w:val="008711D0"/>
    <w:rsid w:val="00873609"/>
    <w:rsid w:val="00873684"/>
    <w:rsid w:val="00874170"/>
    <w:rsid w:val="008754BA"/>
    <w:rsid w:val="00881194"/>
    <w:rsid w:val="008839BA"/>
    <w:rsid w:val="0088426C"/>
    <w:rsid w:val="008867A6"/>
    <w:rsid w:val="00887287"/>
    <w:rsid w:val="00896668"/>
    <w:rsid w:val="008A48A0"/>
    <w:rsid w:val="008A4F57"/>
    <w:rsid w:val="008A5EDD"/>
    <w:rsid w:val="008B0EC5"/>
    <w:rsid w:val="008C13A0"/>
    <w:rsid w:val="008C55AD"/>
    <w:rsid w:val="008C6A46"/>
    <w:rsid w:val="008D1BDF"/>
    <w:rsid w:val="008D2D05"/>
    <w:rsid w:val="008E04F2"/>
    <w:rsid w:val="008E1A04"/>
    <w:rsid w:val="008E5D0F"/>
    <w:rsid w:val="008E5F97"/>
    <w:rsid w:val="008E6834"/>
    <w:rsid w:val="008E69CA"/>
    <w:rsid w:val="008F0570"/>
    <w:rsid w:val="008F2CDB"/>
    <w:rsid w:val="008F2E23"/>
    <w:rsid w:val="008F4332"/>
    <w:rsid w:val="008F4C27"/>
    <w:rsid w:val="008F720A"/>
    <w:rsid w:val="00900713"/>
    <w:rsid w:val="009024BB"/>
    <w:rsid w:val="00904DBC"/>
    <w:rsid w:val="009065BB"/>
    <w:rsid w:val="00907719"/>
    <w:rsid w:val="00910278"/>
    <w:rsid w:val="00911588"/>
    <w:rsid w:val="00920110"/>
    <w:rsid w:val="00920A4A"/>
    <w:rsid w:val="00924B10"/>
    <w:rsid w:val="00926266"/>
    <w:rsid w:val="00926314"/>
    <w:rsid w:val="00926397"/>
    <w:rsid w:val="00932790"/>
    <w:rsid w:val="00932F59"/>
    <w:rsid w:val="00935BE1"/>
    <w:rsid w:val="00936F2B"/>
    <w:rsid w:val="0094036F"/>
    <w:rsid w:val="00940B19"/>
    <w:rsid w:val="00945C98"/>
    <w:rsid w:val="009535D2"/>
    <w:rsid w:val="009574D8"/>
    <w:rsid w:val="00965C76"/>
    <w:rsid w:val="00970820"/>
    <w:rsid w:val="009713BD"/>
    <w:rsid w:val="0097183B"/>
    <w:rsid w:val="00972C14"/>
    <w:rsid w:val="00976CC5"/>
    <w:rsid w:val="00976E05"/>
    <w:rsid w:val="00976EB4"/>
    <w:rsid w:val="00980253"/>
    <w:rsid w:val="00980420"/>
    <w:rsid w:val="00982F03"/>
    <w:rsid w:val="00984407"/>
    <w:rsid w:val="009853C7"/>
    <w:rsid w:val="00985E7D"/>
    <w:rsid w:val="00986A12"/>
    <w:rsid w:val="00987D1A"/>
    <w:rsid w:val="009918BC"/>
    <w:rsid w:val="00993083"/>
    <w:rsid w:val="0099452D"/>
    <w:rsid w:val="00994F84"/>
    <w:rsid w:val="00996C17"/>
    <w:rsid w:val="009A2317"/>
    <w:rsid w:val="009A5FA4"/>
    <w:rsid w:val="009B11E7"/>
    <w:rsid w:val="009B2E50"/>
    <w:rsid w:val="009B45ED"/>
    <w:rsid w:val="009B48B0"/>
    <w:rsid w:val="009B5B92"/>
    <w:rsid w:val="009B7691"/>
    <w:rsid w:val="009D5BFA"/>
    <w:rsid w:val="009D6D78"/>
    <w:rsid w:val="009D739C"/>
    <w:rsid w:val="009D7A82"/>
    <w:rsid w:val="009E102B"/>
    <w:rsid w:val="009E1451"/>
    <w:rsid w:val="009E35B1"/>
    <w:rsid w:val="009E3AFA"/>
    <w:rsid w:val="009E3E60"/>
    <w:rsid w:val="009E4D9E"/>
    <w:rsid w:val="009F07DC"/>
    <w:rsid w:val="009F28C6"/>
    <w:rsid w:val="009F4F86"/>
    <w:rsid w:val="009F63DD"/>
    <w:rsid w:val="009F6FD8"/>
    <w:rsid w:val="00A00A9F"/>
    <w:rsid w:val="00A0720D"/>
    <w:rsid w:val="00A145EC"/>
    <w:rsid w:val="00A15705"/>
    <w:rsid w:val="00A174B0"/>
    <w:rsid w:val="00A21A53"/>
    <w:rsid w:val="00A347AB"/>
    <w:rsid w:val="00A34D23"/>
    <w:rsid w:val="00A35402"/>
    <w:rsid w:val="00A367B2"/>
    <w:rsid w:val="00A375F5"/>
    <w:rsid w:val="00A4001A"/>
    <w:rsid w:val="00A42F02"/>
    <w:rsid w:val="00A474DD"/>
    <w:rsid w:val="00A5592C"/>
    <w:rsid w:val="00A564C8"/>
    <w:rsid w:val="00A76CF4"/>
    <w:rsid w:val="00A820A8"/>
    <w:rsid w:val="00A902AF"/>
    <w:rsid w:val="00A90ED3"/>
    <w:rsid w:val="00AA1350"/>
    <w:rsid w:val="00AA4C60"/>
    <w:rsid w:val="00AB24A7"/>
    <w:rsid w:val="00AC1764"/>
    <w:rsid w:val="00AC28AC"/>
    <w:rsid w:val="00AC3D3F"/>
    <w:rsid w:val="00AC4EC2"/>
    <w:rsid w:val="00AC5168"/>
    <w:rsid w:val="00AD379D"/>
    <w:rsid w:val="00AD4AA0"/>
    <w:rsid w:val="00AD4BD9"/>
    <w:rsid w:val="00AD5D91"/>
    <w:rsid w:val="00AD6A95"/>
    <w:rsid w:val="00AD7DA5"/>
    <w:rsid w:val="00AE501B"/>
    <w:rsid w:val="00AF04C0"/>
    <w:rsid w:val="00AF4EA3"/>
    <w:rsid w:val="00AF716D"/>
    <w:rsid w:val="00B03AC9"/>
    <w:rsid w:val="00B11994"/>
    <w:rsid w:val="00B11F9D"/>
    <w:rsid w:val="00B13828"/>
    <w:rsid w:val="00B14F29"/>
    <w:rsid w:val="00B207CF"/>
    <w:rsid w:val="00B236A6"/>
    <w:rsid w:val="00B30849"/>
    <w:rsid w:val="00B33CF6"/>
    <w:rsid w:val="00B34CEF"/>
    <w:rsid w:val="00B422D9"/>
    <w:rsid w:val="00B433DE"/>
    <w:rsid w:val="00B454AC"/>
    <w:rsid w:val="00B5005F"/>
    <w:rsid w:val="00B51E07"/>
    <w:rsid w:val="00B567ED"/>
    <w:rsid w:val="00B607FC"/>
    <w:rsid w:val="00B615D6"/>
    <w:rsid w:val="00B63876"/>
    <w:rsid w:val="00B7216B"/>
    <w:rsid w:val="00B73AE1"/>
    <w:rsid w:val="00B757DB"/>
    <w:rsid w:val="00B940B0"/>
    <w:rsid w:val="00B9657D"/>
    <w:rsid w:val="00BA12A3"/>
    <w:rsid w:val="00BA244F"/>
    <w:rsid w:val="00BA7CF2"/>
    <w:rsid w:val="00BB1068"/>
    <w:rsid w:val="00BB4116"/>
    <w:rsid w:val="00BB651D"/>
    <w:rsid w:val="00BB7D8D"/>
    <w:rsid w:val="00BC1FF3"/>
    <w:rsid w:val="00BC2548"/>
    <w:rsid w:val="00BC4F94"/>
    <w:rsid w:val="00BC5A93"/>
    <w:rsid w:val="00BC761D"/>
    <w:rsid w:val="00BD1237"/>
    <w:rsid w:val="00BD2B42"/>
    <w:rsid w:val="00BD4317"/>
    <w:rsid w:val="00BD59E6"/>
    <w:rsid w:val="00BD6928"/>
    <w:rsid w:val="00BE404D"/>
    <w:rsid w:val="00BE58C0"/>
    <w:rsid w:val="00BF438C"/>
    <w:rsid w:val="00BF6970"/>
    <w:rsid w:val="00BF69A3"/>
    <w:rsid w:val="00BF7C13"/>
    <w:rsid w:val="00BF7F8F"/>
    <w:rsid w:val="00C000DE"/>
    <w:rsid w:val="00C0023D"/>
    <w:rsid w:val="00C0075B"/>
    <w:rsid w:val="00C00C12"/>
    <w:rsid w:val="00C0159F"/>
    <w:rsid w:val="00C142C3"/>
    <w:rsid w:val="00C227D9"/>
    <w:rsid w:val="00C22DBC"/>
    <w:rsid w:val="00C237D9"/>
    <w:rsid w:val="00C271F3"/>
    <w:rsid w:val="00C4103A"/>
    <w:rsid w:val="00C43CDB"/>
    <w:rsid w:val="00C44574"/>
    <w:rsid w:val="00C45270"/>
    <w:rsid w:val="00C45A23"/>
    <w:rsid w:val="00C47C4C"/>
    <w:rsid w:val="00C50DED"/>
    <w:rsid w:val="00C55A7B"/>
    <w:rsid w:val="00C572EA"/>
    <w:rsid w:val="00C606AB"/>
    <w:rsid w:val="00C6753C"/>
    <w:rsid w:val="00C67F1C"/>
    <w:rsid w:val="00C80D11"/>
    <w:rsid w:val="00C83996"/>
    <w:rsid w:val="00C84653"/>
    <w:rsid w:val="00C87D20"/>
    <w:rsid w:val="00C921C5"/>
    <w:rsid w:val="00C93ED1"/>
    <w:rsid w:val="00C96E72"/>
    <w:rsid w:val="00C97D26"/>
    <w:rsid w:val="00CA074C"/>
    <w:rsid w:val="00CB0502"/>
    <w:rsid w:val="00CB180E"/>
    <w:rsid w:val="00CB292B"/>
    <w:rsid w:val="00CB4E8C"/>
    <w:rsid w:val="00CB5D91"/>
    <w:rsid w:val="00CC094E"/>
    <w:rsid w:val="00CC38A4"/>
    <w:rsid w:val="00CD1B33"/>
    <w:rsid w:val="00CD1DB0"/>
    <w:rsid w:val="00CD45F6"/>
    <w:rsid w:val="00CD741B"/>
    <w:rsid w:val="00CE51FE"/>
    <w:rsid w:val="00CF01C7"/>
    <w:rsid w:val="00CF1548"/>
    <w:rsid w:val="00D03E88"/>
    <w:rsid w:val="00D111B4"/>
    <w:rsid w:val="00D13235"/>
    <w:rsid w:val="00D15E08"/>
    <w:rsid w:val="00D17A1F"/>
    <w:rsid w:val="00D17F72"/>
    <w:rsid w:val="00D216A3"/>
    <w:rsid w:val="00D216B1"/>
    <w:rsid w:val="00D26536"/>
    <w:rsid w:val="00D26610"/>
    <w:rsid w:val="00D32183"/>
    <w:rsid w:val="00D35ED5"/>
    <w:rsid w:val="00D37B3B"/>
    <w:rsid w:val="00D37D82"/>
    <w:rsid w:val="00D4219A"/>
    <w:rsid w:val="00D4643E"/>
    <w:rsid w:val="00D52C84"/>
    <w:rsid w:val="00D55CE9"/>
    <w:rsid w:val="00D57B8F"/>
    <w:rsid w:val="00D57E51"/>
    <w:rsid w:val="00D630EE"/>
    <w:rsid w:val="00D671EB"/>
    <w:rsid w:val="00D701AF"/>
    <w:rsid w:val="00D7097F"/>
    <w:rsid w:val="00D74E39"/>
    <w:rsid w:val="00D750C6"/>
    <w:rsid w:val="00D76347"/>
    <w:rsid w:val="00D838A1"/>
    <w:rsid w:val="00D8474C"/>
    <w:rsid w:val="00D84B14"/>
    <w:rsid w:val="00D873FD"/>
    <w:rsid w:val="00D950F7"/>
    <w:rsid w:val="00DA2E2A"/>
    <w:rsid w:val="00DA4A74"/>
    <w:rsid w:val="00DA4E45"/>
    <w:rsid w:val="00DA53FD"/>
    <w:rsid w:val="00DB355C"/>
    <w:rsid w:val="00DB6C8D"/>
    <w:rsid w:val="00DC2853"/>
    <w:rsid w:val="00DC3067"/>
    <w:rsid w:val="00DC3252"/>
    <w:rsid w:val="00DC6592"/>
    <w:rsid w:val="00DD2179"/>
    <w:rsid w:val="00DD747E"/>
    <w:rsid w:val="00DE0349"/>
    <w:rsid w:val="00DE2626"/>
    <w:rsid w:val="00DE2ECA"/>
    <w:rsid w:val="00DE59E3"/>
    <w:rsid w:val="00DE7748"/>
    <w:rsid w:val="00DF2A5F"/>
    <w:rsid w:val="00DF2DDD"/>
    <w:rsid w:val="00DF30A6"/>
    <w:rsid w:val="00DF6F65"/>
    <w:rsid w:val="00DF77CD"/>
    <w:rsid w:val="00E001E3"/>
    <w:rsid w:val="00E00DF4"/>
    <w:rsid w:val="00E01768"/>
    <w:rsid w:val="00E0450B"/>
    <w:rsid w:val="00E06883"/>
    <w:rsid w:val="00E0689F"/>
    <w:rsid w:val="00E07949"/>
    <w:rsid w:val="00E10F0E"/>
    <w:rsid w:val="00E11982"/>
    <w:rsid w:val="00E11AE7"/>
    <w:rsid w:val="00E16EED"/>
    <w:rsid w:val="00E208DE"/>
    <w:rsid w:val="00E21B5A"/>
    <w:rsid w:val="00E22EE1"/>
    <w:rsid w:val="00E26C95"/>
    <w:rsid w:val="00E309A4"/>
    <w:rsid w:val="00E3400F"/>
    <w:rsid w:val="00E418CE"/>
    <w:rsid w:val="00E4251D"/>
    <w:rsid w:val="00E54F02"/>
    <w:rsid w:val="00E56456"/>
    <w:rsid w:val="00E608D4"/>
    <w:rsid w:val="00E6138D"/>
    <w:rsid w:val="00E61742"/>
    <w:rsid w:val="00E65C3D"/>
    <w:rsid w:val="00E70667"/>
    <w:rsid w:val="00E725CB"/>
    <w:rsid w:val="00E74C54"/>
    <w:rsid w:val="00E75103"/>
    <w:rsid w:val="00E75A2F"/>
    <w:rsid w:val="00E76AB1"/>
    <w:rsid w:val="00E77AB7"/>
    <w:rsid w:val="00E8713D"/>
    <w:rsid w:val="00E87323"/>
    <w:rsid w:val="00E90357"/>
    <w:rsid w:val="00E937E1"/>
    <w:rsid w:val="00E944A7"/>
    <w:rsid w:val="00E97FEF"/>
    <w:rsid w:val="00EA2C97"/>
    <w:rsid w:val="00EA2D74"/>
    <w:rsid w:val="00EA31FC"/>
    <w:rsid w:val="00EA3EA1"/>
    <w:rsid w:val="00EA4328"/>
    <w:rsid w:val="00EA5E40"/>
    <w:rsid w:val="00EB0415"/>
    <w:rsid w:val="00EB68E8"/>
    <w:rsid w:val="00EC1183"/>
    <w:rsid w:val="00EC66A6"/>
    <w:rsid w:val="00ED05C9"/>
    <w:rsid w:val="00ED2D28"/>
    <w:rsid w:val="00ED3007"/>
    <w:rsid w:val="00ED3565"/>
    <w:rsid w:val="00ED5835"/>
    <w:rsid w:val="00ED7F94"/>
    <w:rsid w:val="00EE0194"/>
    <w:rsid w:val="00EE0E59"/>
    <w:rsid w:val="00EE4A28"/>
    <w:rsid w:val="00EF094F"/>
    <w:rsid w:val="00EF4D97"/>
    <w:rsid w:val="00EF5AD5"/>
    <w:rsid w:val="00EF7299"/>
    <w:rsid w:val="00F04664"/>
    <w:rsid w:val="00F05ED8"/>
    <w:rsid w:val="00F1050B"/>
    <w:rsid w:val="00F10E0F"/>
    <w:rsid w:val="00F111EB"/>
    <w:rsid w:val="00F11BCB"/>
    <w:rsid w:val="00F15A45"/>
    <w:rsid w:val="00F2167A"/>
    <w:rsid w:val="00F21DAA"/>
    <w:rsid w:val="00F27289"/>
    <w:rsid w:val="00F316DA"/>
    <w:rsid w:val="00F32862"/>
    <w:rsid w:val="00F41309"/>
    <w:rsid w:val="00F451A7"/>
    <w:rsid w:val="00F45AF9"/>
    <w:rsid w:val="00F45DD3"/>
    <w:rsid w:val="00F46290"/>
    <w:rsid w:val="00F47972"/>
    <w:rsid w:val="00F507DE"/>
    <w:rsid w:val="00F5150D"/>
    <w:rsid w:val="00F54837"/>
    <w:rsid w:val="00F54BBD"/>
    <w:rsid w:val="00F5733E"/>
    <w:rsid w:val="00F671C7"/>
    <w:rsid w:val="00F72051"/>
    <w:rsid w:val="00F748C1"/>
    <w:rsid w:val="00F75CA7"/>
    <w:rsid w:val="00F7631F"/>
    <w:rsid w:val="00F7723F"/>
    <w:rsid w:val="00F8416C"/>
    <w:rsid w:val="00F92BBE"/>
    <w:rsid w:val="00F93750"/>
    <w:rsid w:val="00F94B73"/>
    <w:rsid w:val="00FA0126"/>
    <w:rsid w:val="00FA0BD0"/>
    <w:rsid w:val="00FA11C5"/>
    <w:rsid w:val="00FA19DE"/>
    <w:rsid w:val="00FA21FB"/>
    <w:rsid w:val="00FA2836"/>
    <w:rsid w:val="00FA3767"/>
    <w:rsid w:val="00FB0130"/>
    <w:rsid w:val="00FB07C2"/>
    <w:rsid w:val="00FB22DB"/>
    <w:rsid w:val="00FB28CC"/>
    <w:rsid w:val="00FB2A71"/>
    <w:rsid w:val="00FB3C85"/>
    <w:rsid w:val="00FB5966"/>
    <w:rsid w:val="00FB618C"/>
    <w:rsid w:val="00FC489C"/>
    <w:rsid w:val="00FD1B2E"/>
    <w:rsid w:val="00FD3817"/>
    <w:rsid w:val="00FD7C1B"/>
    <w:rsid w:val="00FE0D95"/>
    <w:rsid w:val="00FE1159"/>
    <w:rsid w:val="00FE18F6"/>
    <w:rsid w:val="00FE3403"/>
    <w:rsid w:val="00FE344D"/>
    <w:rsid w:val="00FE4BB3"/>
    <w:rsid w:val="00FF34F9"/>
    <w:rsid w:val="00FF4513"/>
    <w:rsid w:val="00FF75D2"/>
    <w:rsid w:val="016220E8"/>
    <w:rsid w:val="03FD03EC"/>
    <w:rsid w:val="13B44621"/>
    <w:rsid w:val="23CC09C7"/>
    <w:rsid w:val="26D65192"/>
    <w:rsid w:val="301046BC"/>
    <w:rsid w:val="30290569"/>
    <w:rsid w:val="623B31A3"/>
    <w:rsid w:val="640463B0"/>
    <w:rsid w:val="69A77B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Date"/>
    <w:basedOn w:val="1"/>
    <w:next w:val="1"/>
    <w:link w:val="19"/>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FollowedHyperlink"/>
    <w:basedOn w:val="11"/>
    <w:semiHidden/>
    <w:unhideWhenUsed/>
    <w:qFormat/>
    <w:uiPriority w:val="99"/>
    <w:rPr>
      <w:color w:val="954F72"/>
      <w:u w:val="single"/>
    </w:rPr>
  </w:style>
  <w:style w:type="character" w:styleId="13">
    <w:name w:val="Hyperlink"/>
    <w:basedOn w:val="11"/>
    <w:semiHidden/>
    <w:unhideWhenUsed/>
    <w:qFormat/>
    <w:uiPriority w:val="99"/>
    <w:rPr>
      <w:color w:val="0000FF" w:themeColor="hyperlink"/>
      <w:u w:val="single"/>
      <w14:textFill>
        <w14:solidFill>
          <w14:schemeClr w14:val="hlink"/>
        </w14:solidFill>
      </w14:textFill>
    </w:rPr>
  </w:style>
  <w:style w:type="character" w:customStyle="1" w:styleId="14">
    <w:name w:val="标题 2 Char"/>
    <w:basedOn w:val="11"/>
    <w:link w:val="2"/>
    <w:qFormat/>
    <w:uiPriority w:val="9"/>
    <w:rPr>
      <w:rFonts w:asciiTheme="majorHAnsi" w:hAnsiTheme="majorHAnsi" w:eastAsiaTheme="majorEastAsia" w:cstheme="majorBidi"/>
      <w:b/>
      <w:bCs/>
      <w:sz w:val="32"/>
      <w:szCs w:val="32"/>
    </w:rPr>
  </w:style>
  <w:style w:type="character" w:customStyle="1" w:styleId="15">
    <w:name w:val="批注框文本 Char"/>
    <w:basedOn w:val="11"/>
    <w:link w:val="5"/>
    <w:semiHidden/>
    <w:qFormat/>
    <w:uiPriority w:val="99"/>
    <w:rPr>
      <w:rFonts w:ascii="Calibri" w:hAnsi="Calibri" w:eastAsia="宋体" w:cs="Times New Roman"/>
      <w:sz w:val="18"/>
      <w:szCs w:val="18"/>
    </w:rPr>
  </w:style>
  <w:style w:type="character" w:customStyle="1" w:styleId="16">
    <w:name w:val="页眉 Char"/>
    <w:basedOn w:val="11"/>
    <w:link w:val="7"/>
    <w:qFormat/>
    <w:uiPriority w:val="99"/>
    <w:rPr>
      <w:rFonts w:ascii="Calibri" w:hAnsi="Calibri" w:eastAsia="宋体" w:cs="Times New Roman"/>
      <w:sz w:val="18"/>
      <w:szCs w:val="18"/>
    </w:rPr>
  </w:style>
  <w:style w:type="character" w:customStyle="1" w:styleId="17">
    <w:name w:val="页脚 Char"/>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日期 Char"/>
    <w:basedOn w:val="11"/>
    <w:link w:val="4"/>
    <w:semiHidden/>
    <w:qFormat/>
    <w:uiPriority w:val="99"/>
    <w:rPr>
      <w:rFonts w:ascii="Calibri" w:hAnsi="Calibri" w:eastAsia="宋体" w:cs="Times New Roman"/>
    </w:rPr>
  </w:style>
  <w:style w:type="paragraph" w:customStyle="1" w:styleId="20">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1">
    <w:name w:val="xl63"/>
    <w:basedOn w:val="1"/>
    <w:qFormat/>
    <w:uiPriority w:val="99"/>
    <w:pPr>
      <w:widowControl/>
      <w:spacing w:before="100" w:beforeAutospacing="1" w:after="100" w:afterAutospacing="1"/>
      <w:jc w:val="center"/>
    </w:pPr>
    <w:rPr>
      <w:rFonts w:ascii="宋体" w:hAnsi="宋体" w:cs="宋体"/>
      <w:kern w:val="0"/>
      <w:sz w:val="24"/>
      <w:szCs w:val="24"/>
    </w:rPr>
  </w:style>
  <w:style w:type="paragraph" w:customStyle="1" w:styleId="22">
    <w:name w:val="xl64"/>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
    <w:name w:val="xl65"/>
    <w:basedOn w:val="1"/>
    <w:qFormat/>
    <w:uiPriority w:val="99"/>
    <w:pPr>
      <w:widowControl/>
      <w:spacing w:before="100" w:beforeAutospacing="1" w:after="100" w:afterAutospacing="1"/>
      <w:jc w:val="center"/>
    </w:pPr>
    <w:rPr>
      <w:rFonts w:ascii="宋体" w:hAnsi="宋体" w:cs="宋体"/>
      <w:kern w:val="0"/>
      <w:sz w:val="24"/>
      <w:szCs w:val="24"/>
    </w:rPr>
  </w:style>
  <w:style w:type="paragraph" w:customStyle="1" w:styleId="24">
    <w:name w:val="xl6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5">
    <w:name w:val="xl67"/>
    <w:basedOn w:val="1"/>
    <w:qFormat/>
    <w:uiPriority w:val="99"/>
    <w:pPr>
      <w:widowControl/>
      <w:spacing w:before="100" w:beforeAutospacing="1" w:after="100" w:afterAutospacing="1"/>
      <w:jc w:val="center"/>
    </w:pPr>
    <w:rPr>
      <w:rFonts w:ascii="宋体" w:hAnsi="宋体" w:cs="宋体"/>
      <w:kern w:val="0"/>
      <w:sz w:val="24"/>
      <w:szCs w:val="24"/>
    </w:rPr>
  </w:style>
  <w:style w:type="paragraph" w:customStyle="1" w:styleId="26">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9">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0">
    <w:name w:val="zw"/>
    <w:basedOn w:val="1"/>
    <w:qFormat/>
    <w:uiPriority w:val="99"/>
    <w:pPr>
      <w:spacing w:line="536" w:lineRule="exact"/>
      <w:ind w:firstLine="200" w:firstLineChars="200"/>
      <w:textAlignment w:val="center"/>
    </w:pPr>
    <w:rPr>
      <w:rFonts w:ascii="仿宋_GB2312" w:hAnsi="Times New Roman" w:eastAsia="仿宋_GB2312"/>
      <w:color w:val="008080"/>
      <w:sz w:val="30"/>
      <w:szCs w:val="30"/>
    </w:rPr>
  </w:style>
  <w:style w:type="paragraph" w:customStyle="1" w:styleId="31">
    <w:name w:val="font6"/>
    <w:basedOn w:val="1"/>
    <w:uiPriority w:val="99"/>
    <w:pPr>
      <w:widowControl/>
      <w:spacing w:before="100" w:beforeAutospacing="1" w:after="100" w:afterAutospacing="1"/>
      <w:jc w:val="left"/>
    </w:pPr>
    <w:rPr>
      <w:rFonts w:ascii="宋体" w:hAnsi="宋体" w:cs="宋体"/>
      <w:kern w:val="0"/>
      <w:sz w:val="18"/>
      <w:szCs w:val="18"/>
    </w:rPr>
  </w:style>
  <w:style w:type="paragraph" w:customStyle="1" w:styleId="32">
    <w:name w:val="xl72"/>
    <w:basedOn w:val="1"/>
    <w:qFormat/>
    <w:uiPriority w:val="99"/>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3">
    <w:name w:val="xl73"/>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4">
    <w:name w:val="xl74"/>
    <w:basedOn w:val="1"/>
    <w:uiPriority w:val="99"/>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18"/>
      <w:szCs w:val="18"/>
    </w:rPr>
  </w:style>
  <w:style w:type="paragraph" w:customStyle="1" w:styleId="35">
    <w:name w:val="xl75"/>
    <w:basedOn w:val="1"/>
    <w:qFormat/>
    <w:uiPriority w:val="99"/>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18"/>
      <w:szCs w:val="18"/>
    </w:rPr>
  </w:style>
  <w:style w:type="paragraph" w:customStyle="1" w:styleId="36">
    <w:name w:val="xl76"/>
    <w:basedOn w:val="1"/>
    <w:qFormat/>
    <w:uiPriority w:val="99"/>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7">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8">
    <w:name w:val="xl78"/>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39">
    <w:name w:val="xl79"/>
    <w:basedOn w:val="1"/>
    <w:qFormat/>
    <w:uiPriority w:val="99"/>
    <w:pPr>
      <w:widowControl/>
      <w:pBdr>
        <w:top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40">
    <w:name w:val="xl80"/>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1">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3">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4">
    <w:name w:val="xl84"/>
    <w:basedOn w:val="1"/>
    <w:qFormat/>
    <w:uiPriority w:val="99"/>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45">
    <w:name w:val="xl85"/>
    <w:basedOn w:val="1"/>
    <w:qFormat/>
    <w:uiPriority w:val="99"/>
    <w:pPr>
      <w:widowControl/>
      <w:pBdr>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46">
    <w:name w:val="xl86"/>
    <w:basedOn w:val="1"/>
    <w:qFormat/>
    <w:uiPriority w:val="99"/>
    <w:pPr>
      <w:widowControl/>
      <w:pBdr>
        <w:left w:val="single" w:color="auto" w:sz="4" w:space="0"/>
      </w:pBdr>
      <w:spacing w:before="100" w:beforeAutospacing="1" w:after="100" w:afterAutospacing="1"/>
      <w:jc w:val="center"/>
    </w:pPr>
    <w:rPr>
      <w:rFonts w:ascii="宋体" w:hAnsi="宋体" w:cs="宋体"/>
      <w:kern w:val="0"/>
      <w:sz w:val="16"/>
      <w:szCs w:val="16"/>
    </w:rPr>
  </w:style>
  <w:style w:type="paragraph" w:customStyle="1" w:styleId="47">
    <w:name w:val="xl87"/>
    <w:basedOn w:val="1"/>
    <w:qFormat/>
    <w:uiPriority w:val="99"/>
    <w:pPr>
      <w:widowControl/>
      <w:pBdr>
        <w:right w:val="single" w:color="auto" w:sz="4" w:space="0"/>
      </w:pBdr>
      <w:spacing w:before="100" w:beforeAutospacing="1" w:after="100" w:afterAutospacing="1"/>
      <w:jc w:val="center"/>
    </w:pPr>
    <w:rPr>
      <w:rFonts w:ascii="宋体" w:hAnsi="宋体" w:cs="宋体"/>
      <w:kern w:val="0"/>
      <w:sz w:val="16"/>
      <w:szCs w:val="16"/>
    </w:rPr>
  </w:style>
  <w:style w:type="paragraph" w:customStyle="1" w:styleId="48">
    <w:name w:val="xl8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49">
    <w:name w:val="xl89"/>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50">
    <w:name w:val="xl90"/>
    <w:basedOn w:val="1"/>
    <w:qFormat/>
    <w:uiPriority w:val="99"/>
    <w:pPr>
      <w:widowControl/>
      <w:pBdr>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1">
    <w:name w:val="xl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52">
    <w:name w:val="xl9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3">
    <w:name w:val="xl93"/>
    <w:basedOn w:val="1"/>
    <w:qFormat/>
    <w:uiPriority w:val="99"/>
    <w:pPr>
      <w:widowControl/>
      <w:pBdr>
        <w:top w:val="single" w:color="auto" w:sz="4" w:space="0"/>
      </w:pBdr>
      <w:spacing w:before="100" w:beforeAutospacing="1" w:after="100" w:afterAutospacing="1"/>
      <w:jc w:val="left"/>
    </w:pPr>
    <w:rPr>
      <w:rFonts w:ascii="宋体" w:hAnsi="宋体" w:cs="宋体"/>
      <w:kern w:val="0"/>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36</Pages>
  <Words>3581</Words>
  <Characters>20416</Characters>
  <Lines>170</Lines>
  <Paragraphs>47</Paragraphs>
  <TotalTime>17</TotalTime>
  <ScaleCrop>false</ScaleCrop>
  <LinksUpToDate>false</LinksUpToDate>
  <CharactersWithSpaces>23950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2020-01-06T22:47:00Z</dcterms:created>
  <dc:creator>林燕</dc:creator>
  <cp:lastModifiedBy>面包树上</cp:lastModifiedBy>
  <cp:lastPrinted>2020-01-07T06:48:00Z</cp:lastPrinted>
  <dcterms:modified xsi:type="dcterms:W3CDTF">2020-03-20T03:30:57Z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