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隶书"/>
          <w:b/>
          <w:bCs/>
          <w:spacing w:val="-20"/>
          <w:sz w:val="72"/>
          <w:szCs w:val="24"/>
        </w:rPr>
      </w:pPr>
    </w:p>
    <w:p>
      <w:pPr>
        <w:spacing w:line="580" w:lineRule="exact"/>
        <w:jc w:val="center"/>
        <w:rPr>
          <w:rFonts w:ascii="Times New Roman" w:hAnsi="Times New Roman" w:eastAsia="隶书"/>
          <w:b/>
          <w:bCs/>
          <w:spacing w:val="-20"/>
          <w:sz w:val="72"/>
          <w:szCs w:val="24"/>
        </w:rPr>
      </w:pPr>
    </w:p>
    <w:p>
      <w:pPr>
        <w:spacing w:line="580" w:lineRule="exact"/>
        <w:jc w:val="center"/>
        <w:rPr>
          <w:rFonts w:eastAsia="方正小标宋简体"/>
          <w:bCs/>
          <w:color w:val="000000" w:themeColor="text1"/>
          <w:kern w:val="0"/>
          <w:sz w:val="44"/>
          <w:szCs w:val="44"/>
          <w14:textFill>
            <w14:solidFill>
              <w14:schemeClr w14:val="tx1"/>
            </w14:solidFill>
          </w14:textFill>
        </w:rPr>
      </w:pPr>
      <w:r>
        <w:rPr>
          <w:rFonts w:hint="eastAsia" w:eastAsia="方正小标宋简体"/>
          <w:bCs/>
          <w:color w:val="000000" w:themeColor="text1"/>
          <w:kern w:val="0"/>
          <w:sz w:val="44"/>
          <w:szCs w:val="44"/>
          <w14:textFill>
            <w14:solidFill>
              <w14:schemeClr w14:val="tx1"/>
            </w14:solidFill>
          </w14:textFill>
        </w:rPr>
        <w:t>高等学历继续教育</w:t>
      </w:r>
    </w:p>
    <w:p>
      <w:pPr>
        <w:spacing w:line="580" w:lineRule="exact"/>
        <w:jc w:val="center"/>
        <w:rPr>
          <w:rFonts w:eastAsia="方正小标宋简体"/>
          <w:bCs/>
          <w:color w:val="000000" w:themeColor="text1"/>
          <w:kern w:val="0"/>
          <w:sz w:val="44"/>
          <w:szCs w:val="44"/>
          <w14:textFill>
            <w14:solidFill>
              <w14:schemeClr w14:val="tx1"/>
            </w14:solidFill>
          </w14:textFill>
        </w:rPr>
      </w:pPr>
      <w:r>
        <w:rPr>
          <w:rFonts w:hint="eastAsia" w:eastAsia="方正小标宋简体"/>
          <w:bCs/>
          <w:color w:val="000000" w:themeColor="text1"/>
          <w:kern w:val="0"/>
          <w:sz w:val="44"/>
          <w:szCs w:val="44"/>
          <w14:textFill>
            <w14:solidFill>
              <w14:schemeClr w14:val="tx1"/>
            </w14:solidFill>
          </w14:textFill>
        </w:rPr>
        <w:t>非国控专业增设申请表</w:t>
      </w:r>
    </w:p>
    <w:p>
      <w:pPr>
        <w:spacing w:line="580" w:lineRule="exact"/>
        <w:rPr>
          <w:rFonts w:ascii="Times New Roman" w:hAnsi="Times New Roman"/>
          <w:szCs w:val="24"/>
        </w:rPr>
      </w:pPr>
    </w:p>
    <w:p>
      <w:pPr>
        <w:spacing w:line="580" w:lineRule="exact"/>
        <w:rPr>
          <w:rFonts w:ascii="Times New Roman" w:hAnsi="Times New Roman"/>
          <w:szCs w:val="24"/>
        </w:rPr>
      </w:pPr>
    </w:p>
    <w:p>
      <w:pPr>
        <w:spacing w:line="580" w:lineRule="exact"/>
        <w:ind w:firstLine="990" w:firstLineChars="275"/>
        <w:rPr>
          <w:rFonts w:ascii="Times New Roman" w:hAnsi="Times New Roman"/>
          <w:szCs w:val="24"/>
        </w:rPr>
      </w:pPr>
      <w:r>
        <w:rPr>
          <w:rFonts w:ascii="Times New Roman" w:eastAsia="楷体_GB2312"/>
          <w:sz w:val="36"/>
          <w:szCs w:val="24"/>
        </w:rPr>
        <w:t>学校名称（盖章）：</w:t>
      </w:r>
      <w:r>
        <w:rPr>
          <w:rFonts w:hint="eastAsia" w:eastAsia="楷体_GB2312"/>
          <w:color w:val="000000" w:themeColor="text1"/>
          <w:kern w:val="0"/>
          <w:sz w:val="36"/>
          <w:szCs w:val="24"/>
          <w14:textFill>
            <w14:solidFill>
              <w14:schemeClr w14:val="tx1"/>
            </w14:solidFill>
          </w14:textFill>
        </w:rPr>
        <w:t>国家开放大学</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学校主管部门：</w:t>
      </w:r>
      <w:r>
        <w:rPr>
          <w:rFonts w:hint="eastAsia" w:eastAsia="楷体_GB2312"/>
          <w:color w:val="000000" w:themeColor="text1"/>
          <w:kern w:val="0"/>
          <w:sz w:val="36"/>
          <w:szCs w:val="24"/>
          <w14:textFill>
            <w14:solidFill>
              <w14:schemeClr w14:val="tx1"/>
            </w14:solidFill>
          </w14:textFill>
        </w:rPr>
        <w:t>北京市教育委员会</w:t>
      </w:r>
    </w:p>
    <w:p>
      <w:pPr>
        <w:spacing w:line="580" w:lineRule="exact"/>
        <w:ind w:firstLine="990" w:firstLineChars="275"/>
        <w:rPr>
          <w:rFonts w:ascii="Times New Roman" w:hAnsi="Times New Roman" w:eastAsia="楷体_GB2312"/>
          <w:sz w:val="36"/>
          <w:szCs w:val="24"/>
          <w:u w:val="thick"/>
        </w:rPr>
      </w:pPr>
      <w:r>
        <w:rPr>
          <w:rFonts w:ascii="Times New Roman" w:eastAsia="楷体_GB2312"/>
          <w:sz w:val="36"/>
          <w:szCs w:val="24"/>
        </w:rPr>
        <w:t>专业名称：</w:t>
      </w:r>
      <w:r>
        <w:rPr>
          <w:rFonts w:hint="eastAsia" w:ascii="Times New Roman" w:eastAsia="楷体_GB2312"/>
          <w:sz w:val="36"/>
          <w:szCs w:val="24"/>
        </w:rPr>
        <w:t>车辆工程</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专业代码：</w:t>
      </w:r>
      <w:r>
        <w:rPr>
          <w:rFonts w:hint="eastAsia" w:ascii="Times New Roman" w:eastAsia="楷体_GB2312"/>
          <w:sz w:val="36"/>
          <w:szCs w:val="24"/>
        </w:rPr>
        <w:t>080207</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所属</w:t>
      </w:r>
      <w:r>
        <w:rPr>
          <w:rFonts w:hint="eastAsia" w:ascii="Times New Roman" w:eastAsia="楷体_GB2312"/>
          <w:spacing w:val="14"/>
          <w:sz w:val="36"/>
          <w:szCs w:val="24"/>
        </w:rPr>
        <w:t>学科门类</w:t>
      </w:r>
      <w:r>
        <w:rPr>
          <w:rFonts w:ascii="Times New Roman" w:eastAsia="楷体_GB2312"/>
          <w:spacing w:val="14"/>
          <w:sz w:val="36"/>
          <w:szCs w:val="24"/>
        </w:rPr>
        <w:t>或专业大类：</w:t>
      </w:r>
      <w:r>
        <w:rPr>
          <w:rFonts w:hint="eastAsia" w:ascii="Times New Roman" w:eastAsia="楷体_GB2312"/>
          <w:color w:val="000000"/>
          <w:spacing w:val="14"/>
          <w:sz w:val="36"/>
          <w:szCs w:val="24"/>
        </w:rPr>
        <w:t>工学</w:t>
      </w:r>
      <w:r>
        <w:rPr>
          <w:rFonts w:hint="eastAsia" w:ascii="Times New Roman" w:eastAsia="楷体_GB2312"/>
          <w:spacing w:val="14"/>
          <w:sz w:val="36"/>
          <w:szCs w:val="24"/>
        </w:rPr>
        <w:t>机械类</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培养层次</w:t>
      </w:r>
      <w:r>
        <w:rPr>
          <w:rFonts w:ascii="Times New Roman" w:hAnsi="Times New Roman" w:eastAsia="楷体_GB2312"/>
          <w:spacing w:val="14"/>
          <w:sz w:val="36"/>
          <w:szCs w:val="24"/>
        </w:rPr>
        <w:t>:</w:t>
      </w:r>
      <w:r>
        <w:rPr>
          <w:rFonts w:hint="eastAsia" w:ascii="Times New Roman" w:hAnsi="Times New Roman" w:eastAsia="楷体_GB2312"/>
          <w:spacing w:val="14"/>
          <w:sz w:val="36"/>
          <w:szCs w:val="24"/>
        </w:rPr>
        <w:t xml:space="preserve"> </w:t>
      </w:r>
      <w:r>
        <w:rPr>
          <w:rFonts w:hint="eastAsia" w:ascii="Times New Roman" w:hAnsi="Times New Roman" w:eastAsia="楷体_GB2312"/>
          <w:color w:val="000000"/>
          <w:spacing w:val="14"/>
          <w:sz w:val="36"/>
          <w:szCs w:val="24"/>
        </w:rPr>
        <w:t>专科起点本科</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学习形式</w:t>
      </w:r>
      <w:r>
        <w:rPr>
          <w:rFonts w:ascii="Times New Roman" w:hAnsi="Times New Roman" w:eastAsia="楷体_GB2312"/>
          <w:spacing w:val="14"/>
          <w:sz w:val="36"/>
          <w:szCs w:val="24"/>
        </w:rPr>
        <w:t>:</w:t>
      </w:r>
      <w:r>
        <w:rPr>
          <w:rFonts w:hint="eastAsia" w:ascii="Times New Roman" w:hAnsi="Times New Roman" w:eastAsia="楷体_GB2312"/>
          <w:spacing w:val="14"/>
          <w:sz w:val="36"/>
          <w:szCs w:val="24"/>
        </w:rPr>
        <w:t xml:space="preserve"> 开放教育</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修业年限：</w:t>
      </w:r>
      <w:r>
        <w:rPr>
          <w:rFonts w:ascii="Times New Roman" w:eastAsia="楷体_GB2312"/>
          <w:color w:val="000000"/>
          <w:spacing w:val="14"/>
          <w:sz w:val="36"/>
          <w:szCs w:val="24"/>
        </w:rPr>
        <w:t>2.5</w:t>
      </w:r>
      <w:r>
        <w:rPr>
          <w:rFonts w:hint="eastAsia" w:ascii="Times New Roman" w:eastAsia="楷体_GB2312"/>
          <w:color w:val="000000"/>
          <w:spacing w:val="14"/>
          <w:sz w:val="36"/>
          <w:szCs w:val="24"/>
        </w:rPr>
        <w:t>年</w:t>
      </w:r>
    </w:p>
    <w:p>
      <w:pPr>
        <w:spacing w:line="580" w:lineRule="exact"/>
        <w:ind w:firstLine="989" w:firstLineChars="255"/>
        <w:rPr>
          <w:rFonts w:hint="eastAsia" w:ascii="Times New Roman" w:hAnsi="Times New Roman" w:eastAsia="楷体_GB2312"/>
          <w:sz w:val="36"/>
          <w:szCs w:val="24"/>
          <w:lang w:eastAsia="zh-CN"/>
        </w:rPr>
      </w:pPr>
      <w:r>
        <w:rPr>
          <w:rFonts w:ascii="Times New Roman" w:eastAsia="楷体_GB2312"/>
          <w:spacing w:val="14"/>
          <w:sz w:val="36"/>
          <w:szCs w:val="24"/>
        </w:rPr>
        <w:t>申请时间：201</w:t>
      </w:r>
      <w:r>
        <w:rPr>
          <w:rFonts w:hint="eastAsia" w:ascii="Times New Roman" w:eastAsia="楷体_GB2312"/>
          <w:spacing w:val="14"/>
          <w:sz w:val="36"/>
          <w:szCs w:val="24"/>
        </w:rPr>
        <w:t>9</w:t>
      </w:r>
      <w:r>
        <w:rPr>
          <w:rFonts w:hint="eastAsia" w:ascii="Times New Roman" w:eastAsia="楷体_GB2312"/>
          <w:spacing w:val="14"/>
          <w:sz w:val="36"/>
          <w:szCs w:val="24"/>
          <w:lang w:eastAsia="zh-CN"/>
        </w:rPr>
        <w:t>年</w:t>
      </w:r>
      <w:r>
        <w:rPr>
          <w:rFonts w:ascii="Times New Roman" w:eastAsia="楷体_GB2312"/>
          <w:spacing w:val="14"/>
          <w:sz w:val="36"/>
          <w:szCs w:val="24"/>
        </w:rPr>
        <w:t>10</w:t>
      </w:r>
      <w:r>
        <w:rPr>
          <w:rFonts w:hint="eastAsia" w:ascii="Times New Roman" w:eastAsia="楷体_GB2312"/>
          <w:spacing w:val="14"/>
          <w:sz w:val="36"/>
          <w:szCs w:val="24"/>
          <w:lang w:eastAsia="zh-CN"/>
        </w:rPr>
        <w:t>月</w:t>
      </w:r>
      <w:bookmarkStart w:id="7" w:name="_GoBack"/>
      <w:bookmarkEnd w:id="7"/>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专业负责人：</w:t>
      </w:r>
      <w:r>
        <w:rPr>
          <w:rFonts w:hint="eastAsia" w:ascii="Times New Roman" w:eastAsia="楷体_GB2312"/>
          <w:sz w:val="36"/>
          <w:szCs w:val="24"/>
        </w:rPr>
        <w:t>李志香</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联系电话：</w:t>
      </w:r>
      <w:r>
        <w:rPr>
          <w:rFonts w:hint="eastAsia" w:ascii="Times New Roman" w:eastAsia="楷体_GB2312"/>
          <w:sz w:val="36"/>
          <w:szCs w:val="24"/>
        </w:rPr>
        <w:t>13810251278</w:t>
      </w:r>
    </w:p>
    <w:p>
      <w:pPr>
        <w:spacing w:line="580" w:lineRule="exact"/>
        <w:rPr>
          <w:rFonts w:ascii="Times New Roman" w:hAnsi="Times New Roman" w:eastAsia="楷体_GB2312"/>
          <w:sz w:val="44"/>
          <w:szCs w:val="24"/>
        </w:rPr>
      </w:pPr>
    </w:p>
    <w:p>
      <w:pPr>
        <w:spacing w:line="580" w:lineRule="exact"/>
        <w:rPr>
          <w:rFonts w:ascii="Times New Roman" w:hAnsi="Times New Roman"/>
          <w:szCs w:val="24"/>
        </w:rPr>
      </w:pP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r>
        <w:rPr>
          <w:rFonts w:ascii="Times New Roman" w:eastAsia="楷体_GB2312"/>
          <w:sz w:val="36"/>
          <w:szCs w:val="24"/>
        </w:rPr>
        <w:t>中华人民共和国教育部制</w:t>
      </w: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jc w:val="center"/>
        <w:rPr>
          <w:rFonts w:ascii="Times New Roman" w:hAnsi="Times New Roman" w:eastAsia="仿宋_GB2312"/>
          <w:b/>
          <w:bCs/>
          <w:spacing w:val="100"/>
          <w:sz w:val="36"/>
          <w:szCs w:val="36"/>
        </w:rPr>
      </w:pPr>
      <w:r>
        <w:rPr>
          <w:rFonts w:ascii="Times New Roman" w:eastAsia="仿宋_GB2312"/>
          <w:b/>
          <w:bCs/>
          <w:spacing w:val="100"/>
          <w:sz w:val="36"/>
          <w:szCs w:val="36"/>
        </w:rPr>
        <w:t>填表说明</w:t>
      </w:r>
    </w:p>
    <w:p>
      <w:pPr>
        <w:spacing w:line="580" w:lineRule="exact"/>
        <w:jc w:val="center"/>
        <w:rPr>
          <w:rFonts w:ascii="Times New Roman" w:hAnsi="Times New Roman" w:eastAsia="仿宋_GB2312"/>
          <w:spacing w:val="100"/>
          <w:sz w:val="32"/>
          <w:szCs w:val="32"/>
        </w:rPr>
      </w:pP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1.申请表限用A4纸张打印并装订成册（各专业分别装订）;</w:t>
      </w: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2.在学校办学基本类型对应的方框中画“√”;</w:t>
      </w: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3.所有表格均可另加页;</w:t>
      </w: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4.本表内容应真实、准确。</w:t>
      </w: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80" w:lineRule="exact"/>
        <w:jc w:val="center"/>
        <w:rPr>
          <w:rFonts w:ascii="Times New Roman" w:hAnsi="Times New Roman" w:eastAsia="仿宋_GB2312"/>
          <w:b/>
          <w:bCs/>
          <w:sz w:val="36"/>
          <w:szCs w:val="36"/>
        </w:rPr>
      </w:pPr>
      <w:r>
        <w:rPr>
          <w:rFonts w:ascii="Times New Roman" w:eastAsia="仿宋_GB2312"/>
          <w:b/>
          <w:bCs/>
          <w:sz w:val="36"/>
          <w:szCs w:val="36"/>
        </w:rPr>
        <w:t>目</w:t>
      </w:r>
      <w:r>
        <w:rPr>
          <w:rFonts w:hint="eastAsia" w:ascii="Times New Roman" w:eastAsia="仿宋_GB2312"/>
          <w:b/>
          <w:bCs/>
          <w:sz w:val="36"/>
          <w:szCs w:val="36"/>
        </w:rPr>
        <w:t xml:space="preserve"> </w:t>
      </w:r>
      <w:r>
        <w:rPr>
          <w:rFonts w:ascii="Times New Roman" w:eastAsia="仿宋_GB2312"/>
          <w:b/>
          <w:bCs/>
          <w:sz w:val="36"/>
          <w:szCs w:val="36"/>
        </w:rPr>
        <w:t>录</w:t>
      </w:r>
    </w:p>
    <w:p>
      <w:pPr>
        <w:spacing w:line="580" w:lineRule="exact"/>
        <w:rPr>
          <w:rFonts w:ascii="Times New Roman" w:hAnsi="Times New Roman" w:eastAsia="仿宋_GB2312"/>
          <w:sz w:val="32"/>
          <w:szCs w:val="24"/>
        </w:rPr>
      </w:pP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1. 专业增设申请表</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2. 学校基本情况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3. 增设专业的理由和基础</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4. 增设专业人才培养方案</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5. 增设专业专任教师情况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6. 增设专业计划开设的主要课程</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7. 增设专业基本办学条件</w:t>
      </w: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after="156" w:afterLines="50" w:line="580" w:lineRule="exact"/>
        <w:jc w:val="center"/>
        <w:rPr>
          <w:rFonts w:ascii="Times New Roman" w:hAnsi="Times New Roman" w:eastAsia="黑体"/>
          <w:bCs/>
          <w:sz w:val="32"/>
          <w:szCs w:val="24"/>
        </w:rPr>
      </w:pPr>
      <w:r>
        <w:rPr>
          <w:rFonts w:ascii="Times New Roman" w:hAnsi="Times New Roman" w:eastAsia="黑体"/>
          <w:bCs/>
          <w:sz w:val="32"/>
          <w:szCs w:val="24"/>
        </w:rPr>
        <w:t>专业增设申请表</w:t>
      </w:r>
    </w:p>
    <w:tbl>
      <w:tblPr>
        <w:tblStyle w:val="11"/>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2532"/>
        <w:gridCol w:w="1656"/>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专业代码</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eastAsia="楷体_GB2312"/>
                <w:sz w:val="24"/>
                <w:szCs w:val="24"/>
              </w:rPr>
              <w:t>080207</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专业名称</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车辆工程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培养层次</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color w:val="000000"/>
                <w:sz w:val="24"/>
                <w:szCs w:val="24"/>
              </w:rPr>
              <w:t>专科起点本科</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ascii="Times New Roman"/>
                <w:color w:val="000000" w:themeColor="text1"/>
                <w:sz w:val="24"/>
                <w:szCs w:val="24"/>
                <w14:textFill>
                  <w14:solidFill>
                    <w14:schemeClr w14:val="tx1"/>
                  </w14:solidFill>
                </w14:textFill>
              </w:rPr>
              <w:t>学习形式</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开放教育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color w:val="000000"/>
                <w:sz w:val="24"/>
                <w:szCs w:val="24"/>
              </w:rPr>
              <w:t>修业年限</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hAnsi="Times New Roman"/>
                <w:color w:val="000000"/>
                <w:sz w:val="24"/>
                <w:szCs w:val="24"/>
              </w:rPr>
              <w:t>2.5</w:t>
            </w:r>
            <w:r>
              <w:rPr>
                <w:rFonts w:hint="eastAsia" w:ascii="Times New Roman" w:hAnsi="Times New Roman"/>
                <w:color w:val="000000"/>
                <w:sz w:val="24"/>
                <w:szCs w:val="24"/>
              </w:rPr>
              <w:t>年</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ascii="Times New Roman"/>
                <w:color w:val="000000" w:themeColor="text1"/>
                <w:sz w:val="24"/>
                <w:szCs w:val="24"/>
                <w14:textFill>
                  <w14:solidFill>
                    <w14:schemeClr w14:val="tx1"/>
                  </w14:solidFill>
                </w14:textFill>
              </w:rPr>
              <w:t>现有专业（个）</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Times New Roman" w:hAnsi="Times New Roman"/>
                <w:color w:val="000000" w:themeColor="text1"/>
                <w:sz w:val="24"/>
                <w:szCs w:val="24"/>
                <w14:textFill>
                  <w14:solidFill>
                    <w14:schemeClr w14:val="tx1"/>
                  </w14:solidFill>
                </w14:textFill>
              </w:rPr>
            </w:pPr>
            <w:r>
              <w:rPr>
                <w:rFonts w:ascii="Times New Roman" w:hAnsi="Times New Roman"/>
                <w:sz w:val="24"/>
                <w:szCs w:val="24"/>
              </w:rPr>
              <w:t>现有专业166个，其中专科专业121个，本科专业45个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学科门类（本科）或专业大类（专科）</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工学机械类</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ascii="Times New Roman"/>
                <w:color w:val="000000" w:themeColor="text1"/>
                <w:sz w:val="24"/>
                <w:szCs w:val="24"/>
                <w14:textFill>
                  <w14:solidFill>
                    <w14:schemeClr w14:val="tx1"/>
                  </w14:solidFill>
                </w14:textFill>
              </w:rPr>
              <w:t>本校已设的相近专业及开设年份</w:t>
            </w:r>
          </w:p>
        </w:tc>
        <w:tc>
          <w:tcPr>
            <w:tcW w:w="284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heme="minorEastAsia" w:eastAsiaTheme="minorEastAsia"/>
                <w:sz w:val="24"/>
                <w:szCs w:val="24"/>
              </w:rPr>
            </w:pPr>
            <w:r>
              <w:rPr>
                <w:rFonts w:hint="eastAsia" w:ascii="Times New Roman" w:hAnsiTheme="minorEastAsia" w:eastAsiaTheme="minorEastAsia"/>
                <w:sz w:val="24"/>
                <w:szCs w:val="24"/>
              </w:rPr>
              <w:t>汽车运用与维修技术（专科），</w:t>
            </w:r>
            <w:r>
              <w:rPr>
                <w:rFonts w:ascii="Times New Roman" w:hAnsiTheme="minorEastAsia" w:eastAsiaTheme="minorEastAsia"/>
                <w:sz w:val="24"/>
                <w:szCs w:val="24"/>
              </w:rPr>
              <w:t>20</w:t>
            </w:r>
            <w:r>
              <w:rPr>
                <w:rFonts w:hint="eastAsia" w:ascii="Times New Roman" w:hAnsiTheme="minorEastAsia" w:eastAsiaTheme="minorEastAsia"/>
                <w:sz w:val="24"/>
                <w:szCs w:val="24"/>
              </w:rPr>
              <w:t>0</w:t>
            </w:r>
            <w:r>
              <w:rPr>
                <w:rFonts w:ascii="Times New Roman" w:hAnsiTheme="minorEastAsia" w:eastAsiaTheme="minorEastAsia"/>
                <w:sz w:val="24"/>
                <w:szCs w:val="24"/>
              </w:rPr>
              <w:t>7</w:t>
            </w:r>
            <w:r>
              <w:rPr>
                <w:rFonts w:hint="eastAsia" w:ascii="Times New Roman" w:hAnsiTheme="minorEastAsia" w:eastAsiaTheme="minorEastAsia"/>
                <w:sz w:val="24"/>
                <w:szCs w:val="24"/>
              </w:rPr>
              <w:t>年；汽车营销与服务（专科），</w:t>
            </w:r>
            <w:r>
              <w:rPr>
                <w:rFonts w:ascii="Times New Roman" w:hAnsiTheme="minorEastAsia" w:eastAsiaTheme="minorEastAsia"/>
                <w:sz w:val="24"/>
                <w:szCs w:val="24"/>
              </w:rPr>
              <w:t>20</w:t>
            </w:r>
            <w:r>
              <w:rPr>
                <w:rFonts w:hint="eastAsia" w:ascii="Times New Roman" w:hAnsiTheme="minorEastAsia" w:eastAsiaTheme="minorEastAsia"/>
                <w:sz w:val="24"/>
                <w:szCs w:val="24"/>
              </w:rPr>
              <w:t>0</w:t>
            </w:r>
            <w:r>
              <w:rPr>
                <w:rFonts w:ascii="Times New Roman" w:hAnsiTheme="minorEastAsia" w:eastAsiaTheme="minorEastAsia"/>
                <w:sz w:val="24"/>
                <w:szCs w:val="24"/>
              </w:rPr>
              <w:t>7</w:t>
            </w:r>
            <w:r>
              <w:rPr>
                <w:rFonts w:hint="eastAsia" w:ascii="Times New Roman" w:hAnsiTheme="minorEastAsia" w:eastAsiaTheme="minorEastAsia"/>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拟首次招生时间</w:t>
            </w:r>
          </w:p>
          <w:p>
            <w:pPr>
              <w:spacing w:line="360" w:lineRule="exact"/>
              <w:jc w:val="center"/>
              <w:rPr>
                <w:rFonts w:ascii="Times New Roman" w:hAnsi="Times New Roman"/>
                <w:sz w:val="24"/>
                <w:szCs w:val="24"/>
              </w:rPr>
            </w:pPr>
            <w:r>
              <w:rPr>
                <w:rFonts w:ascii="Times New Roman"/>
                <w:sz w:val="24"/>
                <w:szCs w:val="24"/>
              </w:rPr>
              <w:t>及招生数</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2021春，500人</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ascii="Times New Roman"/>
                <w:color w:val="000000" w:themeColor="text1"/>
                <w:sz w:val="24"/>
                <w:szCs w:val="24"/>
                <w14:textFill>
                  <w14:solidFill>
                    <w14:schemeClr w14:val="tx1"/>
                  </w14:solidFill>
                </w14:textFill>
              </w:rPr>
              <w:t>五年内计划</w:t>
            </w:r>
          </w:p>
          <w:p>
            <w:pPr>
              <w:spacing w:line="360" w:lineRule="exact"/>
              <w:jc w:val="center"/>
              <w:rPr>
                <w:rFonts w:ascii="Times New Roman" w:hAnsi="Times New Roman"/>
                <w:color w:val="000000" w:themeColor="text1"/>
                <w:sz w:val="24"/>
                <w:szCs w:val="24"/>
                <w14:textFill>
                  <w14:solidFill>
                    <w14:schemeClr w14:val="tx1"/>
                  </w14:solidFill>
                </w14:textFill>
              </w:rPr>
            </w:pPr>
            <w:r>
              <w:rPr>
                <w:rFonts w:ascii="Times New Roman"/>
                <w:color w:val="000000" w:themeColor="text1"/>
                <w:sz w:val="24"/>
                <w:szCs w:val="24"/>
                <w14:textFill>
                  <w14:solidFill>
                    <w14:schemeClr w14:val="tx1"/>
                  </w14:solidFill>
                </w14:textFill>
              </w:rPr>
              <w:t>发展规模</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1"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sz w:val="24"/>
                <w:szCs w:val="24"/>
              </w:rPr>
            </w:pPr>
            <w:r>
              <w:rPr>
                <w:rFonts w:ascii="Times New Roman"/>
                <w:sz w:val="24"/>
                <w:szCs w:val="24"/>
              </w:rPr>
              <w:t>学校专业设置</w:t>
            </w:r>
          </w:p>
          <w:p>
            <w:pPr>
              <w:spacing w:line="360" w:lineRule="exact"/>
              <w:jc w:val="center"/>
              <w:rPr>
                <w:rFonts w:ascii="Times New Roman"/>
                <w:sz w:val="24"/>
                <w:szCs w:val="24"/>
              </w:rPr>
            </w:pPr>
            <w:r>
              <w:rPr>
                <w:rFonts w:ascii="Times New Roman"/>
                <w:sz w:val="24"/>
                <w:szCs w:val="24"/>
              </w:rPr>
              <w:t>评议专家组织</w:t>
            </w:r>
          </w:p>
          <w:p>
            <w:pPr>
              <w:spacing w:line="360" w:lineRule="exact"/>
              <w:jc w:val="center"/>
              <w:rPr>
                <w:rFonts w:ascii="Times New Roman" w:hAnsi="Times New Roman"/>
                <w:sz w:val="24"/>
                <w:szCs w:val="24"/>
              </w:rPr>
            </w:pPr>
            <w:r>
              <w:rPr>
                <w:rFonts w:ascii="Times New Roman"/>
                <w:sz w:val="24"/>
                <w:szCs w:val="24"/>
              </w:rPr>
              <w:t>评议意见</w:t>
            </w:r>
          </w:p>
          <w:p>
            <w:pPr>
              <w:spacing w:line="360" w:lineRule="exact"/>
              <w:jc w:val="center"/>
              <w:rPr>
                <w:rFonts w:ascii="Times New Roman" w:hAnsi="Times New Roman"/>
                <w:sz w:val="24"/>
                <w:szCs w:val="24"/>
              </w:rPr>
            </w:pP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3240" w:firstLineChars="1350"/>
              <w:rPr>
                <w:rFonts w:ascii="Times New Roman" w:hAnsiTheme="minorEastAsia" w:eastAsiaTheme="minorEastAsia"/>
                <w:sz w:val="24"/>
                <w:szCs w:val="24"/>
              </w:rPr>
            </w:pPr>
          </w:p>
          <w:p>
            <w:pPr>
              <w:spacing w:line="360" w:lineRule="exact"/>
              <w:ind w:firstLine="3240" w:firstLineChars="1350"/>
              <w:rPr>
                <w:rFonts w:ascii="Times New Roman" w:hAnsiTheme="minorEastAsia" w:eastAsiaTheme="minorEastAsia"/>
                <w:sz w:val="24"/>
                <w:szCs w:val="24"/>
              </w:rPr>
            </w:pPr>
          </w:p>
          <w:p>
            <w:pPr>
              <w:spacing w:line="360" w:lineRule="exact"/>
              <w:ind w:firstLine="3240" w:firstLineChars="1350"/>
              <w:rPr>
                <w:rFonts w:ascii="Times New Roman" w:hAnsiTheme="minorEastAsia" w:eastAsiaTheme="minorEastAsia"/>
                <w:sz w:val="24"/>
                <w:szCs w:val="24"/>
              </w:rPr>
            </w:pPr>
          </w:p>
          <w:p>
            <w:pPr>
              <w:spacing w:line="360" w:lineRule="exact"/>
              <w:ind w:firstLine="3240" w:firstLineChars="1350"/>
              <w:rPr>
                <w:rFonts w:ascii="Times New Roman" w:hAnsiTheme="minorEastAsia" w:eastAsiaTheme="minorEastAsia"/>
                <w:sz w:val="24"/>
                <w:szCs w:val="24"/>
              </w:rPr>
            </w:pPr>
          </w:p>
          <w:p>
            <w:pPr>
              <w:spacing w:line="360" w:lineRule="exact"/>
              <w:ind w:firstLine="3240" w:firstLineChars="1350"/>
              <w:rPr>
                <w:rFonts w:ascii="Times New Roman" w:hAnsiTheme="minorEastAsia" w:eastAsiaTheme="minorEastAsia"/>
                <w:sz w:val="24"/>
                <w:szCs w:val="24"/>
              </w:rPr>
            </w:pPr>
          </w:p>
          <w:p>
            <w:pPr>
              <w:spacing w:line="360" w:lineRule="exact"/>
              <w:ind w:firstLine="3240" w:firstLineChars="1350"/>
              <w:rPr>
                <w:rFonts w:ascii="Times New Roman" w:hAnsiTheme="minorEastAsia" w:eastAsiaTheme="minorEastAsia"/>
                <w:sz w:val="24"/>
                <w:szCs w:val="24"/>
              </w:rPr>
            </w:pPr>
          </w:p>
          <w:p>
            <w:pPr>
              <w:spacing w:line="360" w:lineRule="exact"/>
              <w:ind w:firstLine="3240" w:firstLineChars="1350"/>
              <w:rPr>
                <w:rFonts w:ascii="Times New Roman" w:hAnsi="Times New Roman"/>
                <w:sz w:val="24"/>
                <w:szCs w:val="24"/>
              </w:rPr>
            </w:pPr>
            <w:r>
              <w:rPr>
                <w:rFonts w:ascii="Times New Roman"/>
                <w:sz w:val="24"/>
                <w:szCs w:val="24"/>
              </w:rPr>
              <w:t>（主任签字）</w:t>
            </w:r>
          </w:p>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3"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学校意见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ind w:firstLine="3360" w:firstLineChars="1400"/>
              <w:rPr>
                <w:rFonts w:ascii="Times New Roman" w:hAnsi="Times New Roman"/>
                <w:sz w:val="24"/>
                <w:szCs w:val="24"/>
              </w:rPr>
            </w:pPr>
          </w:p>
          <w:p>
            <w:pPr>
              <w:spacing w:line="360" w:lineRule="exact"/>
              <w:rPr>
                <w:rFonts w:ascii="Times New Roman" w:hAnsi="Times New Roman"/>
                <w:sz w:val="24"/>
                <w:szCs w:val="24"/>
              </w:rPr>
            </w:pPr>
            <w:r>
              <w:rPr>
                <w:rFonts w:ascii="Times New Roman"/>
                <w:sz w:val="24"/>
                <w:szCs w:val="24"/>
              </w:rPr>
              <w:t>（校长签字）</w:t>
            </w:r>
            <w:r>
              <w:rPr>
                <w:rFonts w:ascii="Times New Roman" w:hAnsi="Times New Roman"/>
                <w:sz w:val="24"/>
                <w:szCs w:val="24"/>
              </w:rPr>
              <w:t xml:space="preserve">                   </w:t>
            </w:r>
            <w:r>
              <w:rPr>
                <w:rFonts w:ascii="Times New Roman"/>
                <w:sz w:val="24"/>
                <w:szCs w:val="24"/>
              </w:rPr>
              <w:t>学校（盖章）：</w:t>
            </w:r>
          </w:p>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7"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szCs w:val="24"/>
              </w:rPr>
            </w:pPr>
            <w:r>
              <w:rPr>
                <w:rFonts w:ascii="Times New Roman" w:hAnsi="宋体"/>
                <w:sz w:val="24"/>
                <w:szCs w:val="24"/>
              </w:rPr>
              <w:t>省级</w:t>
            </w:r>
          </w:p>
          <w:p>
            <w:pPr>
              <w:jc w:val="center"/>
              <w:rPr>
                <w:rFonts w:ascii="Times New Roman" w:hAnsi="Times New Roman"/>
                <w:sz w:val="24"/>
                <w:szCs w:val="24"/>
              </w:rPr>
            </w:pPr>
            <w:r>
              <w:rPr>
                <w:rFonts w:ascii="Times New Roman" w:hAnsi="宋体"/>
                <w:sz w:val="24"/>
                <w:szCs w:val="24"/>
              </w:rPr>
              <w:t>教育</w:t>
            </w:r>
          </w:p>
          <w:p>
            <w:pPr>
              <w:jc w:val="center"/>
              <w:rPr>
                <w:rFonts w:ascii="Times New Roman" w:hAnsi="Times New Roman"/>
                <w:sz w:val="24"/>
                <w:szCs w:val="24"/>
              </w:rPr>
            </w:pPr>
            <w:r>
              <w:rPr>
                <w:rFonts w:ascii="Times New Roman" w:hAnsi="宋体"/>
                <w:sz w:val="24"/>
                <w:szCs w:val="24"/>
              </w:rPr>
              <w:t>行政</w:t>
            </w:r>
          </w:p>
          <w:p>
            <w:pPr>
              <w:jc w:val="center"/>
              <w:rPr>
                <w:rFonts w:ascii="Times New Roman" w:hAnsi="Times New Roman"/>
                <w:sz w:val="24"/>
                <w:szCs w:val="24"/>
              </w:rPr>
            </w:pPr>
            <w:r>
              <w:rPr>
                <w:rFonts w:ascii="Times New Roman" w:hAnsi="宋体"/>
                <w:sz w:val="24"/>
                <w:szCs w:val="24"/>
              </w:rPr>
              <w:t>部门</w:t>
            </w:r>
          </w:p>
          <w:p>
            <w:pPr>
              <w:spacing w:line="360" w:lineRule="exact"/>
              <w:jc w:val="center"/>
              <w:rPr>
                <w:rFonts w:ascii="Times New Roman" w:hAnsi="Times New Roman"/>
                <w:sz w:val="24"/>
                <w:szCs w:val="24"/>
              </w:rPr>
            </w:pPr>
            <w:r>
              <w:rPr>
                <w:rFonts w:ascii="Times New Roman" w:hAnsi="宋体"/>
                <w:sz w:val="24"/>
                <w:szCs w:val="24"/>
              </w:rPr>
              <w:t>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盖章：</w:t>
            </w: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bl>
    <w:p>
      <w:pPr>
        <w:spacing w:line="580" w:lineRule="exact"/>
        <w:rPr>
          <w:rFonts w:ascii="Times New Roman" w:hAnsi="Times New Roman" w:eastAsia="华文楷体"/>
          <w:b/>
          <w:sz w:val="24"/>
          <w:szCs w:val="24"/>
        </w:rPr>
      </w:pPr>
      <w:r>
        <w:rPr>
          <w:rFonts w:ascii="Times New Roman" w:hAnsi="华文楷体" w:eastAsia="华文楷体"/>
          <w:sz w:val="24"/>
          <w:szCs w:val="24"/>
        </w:rPr>
        <w:t>注：专业代码按《</w:t>
      </w:r>
      <w:r>
        <w:rPr>
          <w:rFonts w:hint="eastAsia" w:ascii="Times New Roman" w:hAnsi="华文楷体" w:eastAsia="华文楷体"/>
          <w:sz w:val="24"/>
          <w:szCs w:val="24"/>
        </w:rPr>
        <w:t>高等学历继续教育专业设置管理</w:t>
      </w:r>
      <w:r>
        <w:rPr>
          <w:rFonts w:ascii="Times New Roman" w:hAnsi="华文楷体" w:eastAsia="华文楷体"/>
          <w:sz w:val="24"/>
          <w:szCs w:val="24"/>
        </w:rPr>
        <w:t>办法》规定的专业目录填写。</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32"/>
          <w:szCs w:val="32"/>
        </w:rPr>
        <w:t>学校基本情况</w:t>
      </w:r>
    </w:p>
    <w:tbl>
      <w:tblPr>
        <w:tblStyle w:val="11"/>
        <w:tblW w:w="8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851"/>
        <w:gridCol w:w="1417"/>
        <w:gridCol w:w="2552"/>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学校名称</w:t>
            </w:r>
          </w:p>
        </w:tc>
        <w:tc>
          <w:tcPr>
            <w:tcW w:w="1851"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国家开放大学</w:t>
            </w:r>
          </w:p>
        </w:tc>
        <w:tc>
          <w:tcPr>
            <w:tcW w:w="1417"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学校地址</w:t>
            </w:r>
          </w:p>
        </w:tc>
        <w:tc>
          <w:tcPr>
            <w:tcW w:w="3919" w:type="dxa"/>
            <w:gridSpan w:val="2"/>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北京市海淀区复兴路75号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邮政编码</w:t>
            </w:r>
          </w:p>
        </w:tc>
        <w:tc>
          <w:tcPr>
            <w:tcW w:w="1851"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100039</w:t>
            </w:r>
          </w:p>
        </w:tc>
        <w:tc>
          <w:tcPr>
            <w:tcW w:w="1417"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校园网址</w:t>
            </w:r>
          </w:p>
        </w:tc>
        <w:tc>
          <w:tcPr>
            <w:tcW w:w="3919" w:type="dxa"/>
            <w:gridSpan w:val="2"/>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http://www.ouchn.edu.cn/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在校生总数</w:t>
            </w:r>
          </w:p>
        </w:tc>
        <w:tc>
          <w:tcPr>
            <w:tcW w:w="326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Theme="minorEastAsia"/>
                <w:color w:val="000000" w:themeColor="text1"/>
                <w:sz w:val="24"/>
                <w:szCs w:val="24"/>
                <w14:textFill>
                  <w14:solidFill>
                    <w14:schemeClr w14:val="tx1"/>
                  </w14:solidFill>
                </w14:textFill>
              </w:rPr>
              <w:t>431.7</w:t>
            </w:r>
            <w:r>
              <w:rPr>
                <w:rFonts w:ascii="Times New Roman" w:hAnsi="Times New Roman" w:eastAsiaTheme="minorEastAsia"/>
                <w:color w:val="000000" w:themeColor="text1"/>
                <w:sz w:val="24"/>
                <w:szCs w:val="24"/>
                <w14:textFill>
                  <w14:solidFill>
                    <w14:schemeClr w14:val="tx1"/>
                  </w14:solidFill>
                </w14:textFill>
              </w:rPr>
              <w:t>万</w:t>
            </w:r>
          </w:p>
        </w:tc>
        <w:tc>
          <w:tcPr>
            <w:tcW w:w="255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黑体"/>
                <w:sz w:val="24"/>
                <w:szCs w:val="24"/>
              </w:rPr>
            </w:pPr>
            <w:r>
              <w:rPr>
                <w:rFonts w:ascii="Times New Roman"/>
                <w:sz w:val="24"/>
                <w:szCs w:val="24"/>
              </w:rPr>
              <w:t>专业平均年招生规模</w:t>
            </w:r>
          </w:p>
        </w:tc>
        <w:tc>
          <w:tcPr>
            <w:tcW w:w="13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Theme="minorEastAsia"/>
                <w:color w:val="000000" w:themeColor="text1"/>
                <w:sz w:val="24"/>
                <w:szCs w:val="24"/>
                <w14:textFill>
                  <w14:solidFill>
                    <w14:schemeClr w14:val="tx1"/>
                  </w14:solidFill>
                </w14:textFill>
              </w:rPr>
              <w:t>11199人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sz w:val="24"/>
                <w:szCs w:val="24"/>
              </w:rPr>
            </w:pPr>
            <w:r>
              <w:rPr>
                <w:rFonts w:ascii="Times New Roman"/>
                <w:sz w:val="24"/>
                <w:szCs w:val="24"/>
              </w:rPr>
              <w:t>学校类型</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pacing w:line="580" w:lineRule="exact"/>
              <w:rPr>
                <w:rFonts w:ascii="Times New Roman" w:hAnsi="Times New Roman" w:eastAsiaTheme="minorEastAsia"/>
                <w:sz w:val="24"/>
                <w:szCs w:val="24"/>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 eq \o\ac(□,</w:instrText>
            </w:r>
            <w:r>
              <w:rPr>
                <w:rFonts w:hint="eastAsia" w:ascii="宋体" w:hAnsiTheme="minorEastAsia" w:eastAsiaTheme="minorEastAsia" w:cstheme="minorEastAsia"/>
                <w:bCs/>
                <w:color w:val="000000" w:themeColor="text1"/>
                <w:position w:val="2"/>
                <w:sz w:val="16"/>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end"/>
            </w:r>
            <w:r>
              <w:rPr>
                <w:rFonts w:ascii="Times New Roman" w:hAnsiTheme="minorEastAsia" w:eastAsiaTheme="minorEastAsia"/>
                <w:sz w:val="24"/>
                <w:szCs w:val="24"/>
              </w:rPr>
              <w:t>开放大学</w:t>
            </w:r>
            <w:r>
              <w:rPr>
                <w:rFonts w:ascii="Times New Roman" w:hAnsi="Times New Roman" w:eastAsiaTheme="minorEastAsia"/>
                <w:sz w:val="24"/>
                <w:szCs w:val="24"/>
              </w:rPr>
              <w:t xml:space="preserve">   </w:t>
            </w:r>
            <w:r>
              <w:rPr>
                <w:rFonts w:hint="eastAsia" w:asciiTheme="minorEastAsia" w:hAnsiTheme="minorEastAsia" w:eastAsiaTheme="minorEastAsia"/>
                <w:sz w:val="24"/>
                <w:szCs w:val="24"/>
              </w:rPr>
              <w:t>□</w:t>
            </w:r>
            <w:r>
              <w:rPr>
                <w:rFonts w:ascii="Times New Roman" w:hAnsiTheme="minorEastAsia" w:eastAsiaTheme="minorEastAsia"/>
                <w:sz w:val="24"/>
                <w:szCs w:val="24"/>
              </w:rPr>
              <w:t>独立设置成人高校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sz w:val="24"/>
                <w:szCs w:val="24"/>
              </w:rPr>
            </w:pPr>
            <w:r>
              <w:rPr>
                <w:rFonts w:ascii="Times New Roman"/>
                <w:sz w:val="24"/>
                <w:szCs w:val="24"/>
              </w:rPr>
              <w:t>已有学科门类或专业大类</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napToGrid w:val="0"/>
              <w:ind w:firstLine="480"/>
              <w:rPr>
                <w:rFonts w:ascii="Times New Roman" w:hAnsi="Times New Roman" w:eastAsiaTheme="minorEastAsia"/>
                <w:sz w:val="24"/>
                <w:szCs w:val="24"/>
              </w:rPr>
            </w:pPr>
            <w:r>
              <w:rPr>
                <w:rFonts w:ascii="Times New Roman" w:hAnsi="Times New Roman" w:eastAsiaTheme="minorEastAsia"/>
                <w:sz w:val="24"/>
                <w:szCs w:val="24"/>
              </w:rPr>
              <w:t>本科专业学科：经济学，管理学，法学，教育学，文学，理学，工学，农学，医学等9个学科</w:t>
            </w:r>
          </w:p>
          <w:p>
            <w:pPr>
              <w:snapToGrid w:val="0"/>
              <w:ind w:firstLine="480" w:firstLineChars="200"/>
              <w:rPr>
                <w:rFonts w:ascii="Times New Roman" w:hAnsi="Times New Roman" w:eastAsia="黑体"/>
                <w:sz w:val="24"/>
                <w:szCs w:val="24"/>
              </w:rPr>
            </w:pPr>
            <w:r>
              <w:rPr>
                <w:rFonts w:ascii="Times New Roman" w:hAnsi="Times New Roman" w:eastAsiaTheme="minorEastAsia"/>
                <w:sz w:val="24"/>
                <w:szCs w:val="24"/>
              </w:rPr>
              <w:t>专科专业大类：</w:t>
            </w:r>
            <w:r>
              <w:rPr>
                <w:rFonts w:ascii="Times New Roman" w:hAnsi="Times New Roman"/>
                <w:sz w:val="24"/>
                <w:szCs w:val="24"/>
              </w:rPr>
              <w:t>农林牧副渔、资源环境与安全、能源动力与材料、土木建筑、水利、装备制造、生物与化工、轻工纺织、食品药品与粮食、交通运输、电子信息、医药卫生、财经商贸、旅游、文化艺术、新闻传播、教育与体育、公安与司法、公共管理与服务等19个专业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ind w:right="-105" w:rightChars="-50"/>
              <w:rPr>
                <w:rFonts w:ascii="Times New Roman" w:hAnsi="Times New Roman"/>
                <w:sz w:val="24"/>
                <w:szCs w:val="24"/>
              </w:rPr>
            </w:pPr>
            <w:r>
              <w:rPr>
                <w:rFonts w:ascii="Times New Roman"/>
                <w:sz w:val="24"/>
                <w:szCs w:val="24"/>
              </w:rPr>
              <w:t>专任教师</w:t>
            </w:r>
          </w:p>
          <w:p>
            <w:pPr>
              <w:spacing w:line="580" w:lineRule="exact"/>
              <w:jc w:val="center"/>
              <w:rPr>
                <w:rFonts w:ascii="Times New Roman" w:hAnsi="Times New Roman" w:eastAsia="黑体"/>
                <w:sz w:val="24"/>
                <w:szCs w:val="24"/>
              </w:rPr>
            </w:pPr>
            <w:r>
              <w:rPr>
                <w:rFonts w:ascii="Times New Roman"/>
                <w:sz w:val="24"/>
                <w:szCs w:val="24"/>
              </w:rPr>
              <w:t>总数（人）</w:t>
            </w:r>
          </w:p>
        </w:tc>
        <w:tc>
          <w:tcPr>
            <w:tcW w:w="326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黑体"/>
                <w:sz w:val="24"/>
                <w:szCs w:val="24"/>
              </w:rPr>
              <w:t>155</w:t>
            </w:r>
          </w:p>
        </w:tc>
        <w:tc>
          <w:tcPr>
            <w:tcW w:w="25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专任教师中副教授及以上职称教师所占比例</w:t>
            </w:r>
          </w:p>
        </w:tc>
        <w:tc>
          <w:tcPr>
            <w:tcW w:w="13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黑体"/>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2"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sz w:val="24"/>
                <w:szCs w:val="24"/>
              </w:rPr>
            </w:pPr>
            <w:r>
              <w:rPr>
                <w:rFonts w:ascii="Times New Roman"/>
                <w:sz w:val="24"/>
                <w:szCs w:val="24"/>
              </w:rPr>
              <w:t>学校简介和</w:t>
            </w:r>
          </w:p>
          <w:p>
            <w:pPr>
              <w:spacing w:line="580" w:lineRule="exact"/>
              <w:jc w:val="center"/>
              <w:rPr>
                <w:rFonts w:ascii="Times New Roman" w:hAnsi="Times New Roman"/>
                <w:sz w:val="24"/>
                <w:szCs w:val="24"/>
              </w:rPr>
            </w:pPr>
            <w:r>
              <w:rPr>
                <w:rFonts w:ascii="Times New Roman"/>
                <w:sz w:val="24"/>
                <w:szCs w:val="24"/>
              </w:rPr>
              <w:t>历史沿革</w:t>
            </w:r>
          </w:p>
          <w:p>
            <w:pPr>
              <w:spacing w:line="580" w:lineRule="exact"/>
              <w:jc w:val="center"/>
              <w:rPr>
                <w:rFonts w:ascii="Times New Roman" w:hAnsi="Times New Roman" w:eastAsia="黑体"/>
                <w:sz w:val="24"/>
                <w:szCs w:val="24"/>
              </w:rPr>
            </w:pPr>
            <w:r>
              <w:rPr>
                <w:rFonts w:ascii="Times New Roman"/>
                <w:sz w:val="24"/>
                <w:szCs w:val="24"/>
              </w:rPr>
              <w:t>（</w:t>
            </w:r>
            <w:r>
              <w:rPr>
                <w:rFonts w:ascii="Times New Roman" w:hAnsi="Times New Roman"/>
                <w:sz w:val="24"/>
                <w:szCs w:val="24"/>
              </w:rPr>
              <w:t>300</w:t>
            </w:r>
            <w:r>
              <w:rPr>
                <w:rFonts w:ascii="Times New Roman"/>
                <w:sz w:val="24"/>
                <w:szCs w:val="24"/>
              </w:rPr>
              <w:t>字以内）</w:t>
            </w:r>
          </w:p>
        </w:tc>
        <w:tc>
          <w:tcPr>
            <w:tcW w:w="7187" w:type="dxa"/>
            <w:gridSpan w:val="4"/>
            <w:tcBorders>
              <w:top w:val="single" w:color="auto" w:sz="4" w:space="0"/>
              <w:left w:val="single" w:color="auto" w:sz="4" w:space="0"/>
              <w:bottom w:val="single" w:color="auto" w:sz="4" w:space="0"/>
              <w:right w:val="single" w:color="auto" w:sz="4" w:space="0"/>
            </w:tcBorders>
          </w:tcPr>
          <w:p>
            <w:pPr>
              <w:spacing w:line="400" w:lineRule="exact"/>
              <w:ind w:firstLine="480"/>
              <w:rPr>
                <w:rFonts w:ascii="Times New Roman" w:hAnsi="Times New Roman" w:eastAsiaTheme="minorEastAsia"/>
                <w:kern w:val="0"/>
                <w:sz w:val="24"/>
                <w:szCs w:val="24"/>
              </w:rPr>
            </w:pPr>
            <w:r>
              <w:rPr>
                <w:rFonts w:ascii="Times New Roman" w:hAnsi="Times New Roman" w:eastAsiaTheme="minorEastAsia"/>
                <w:sz w:val="24"/>
                <w:szCs w:val="24"/>
              </w:rPr>
              <w:t>国家开放大学是在中央广播电视大学和地方广播电视大学的基础上组建，以现代信息技术为支撑，办学网络立体覆盖全国城乡，学历与非学历教育并举，面向全体社会成员，</w:t>
            </w:r>
            <w:r>
              <w:rPr>
                <w:rFonts w:ascii="Times New Roman" w:hAnsi="Times New Roman" w:eastAsiaTheme="minorEastAsia"/>
                <w:kern w:val="0"/>
                <w:sz w:val="24"/>
                <w:szCs w:val="24"/>
              </w:rPr>
              <w:t>实施远程</w:t>
            </w:r>
            <w:r>
              <w:fldChar w:fldCharType="begin"/>
            </w:r>
            <w:r>
              <w:instrText xml:space="preserve"> HYPERLINK "https://baike.baidu.com/item/%E5%BC%80%E6%94%BE%E6%95%99%E8%82%B2" </w:instrText>
            </w:r>
            <w:r>
              <w:fldChar w:fldCharType="separate"/>
            </w:r>
            <w:r>
              <w:rPr>
                <w:rFonts w:ascii="Times New Roman" w:hAnsi="Times New Roman" w:eastAsiaTheme="minorEastAsia"/>
                <w:kern w:val="0"/>
                <w:sz w:val="24"/>
                <w:szCs w:val="24"/>
              </w:rPr>
              <w:t>开放教育</w:t>
            </w:r>
            <w:r>
              <w:rPr>
                <w:rFonts w:ascii="Times New Roman" w:hAnsi="Times New Roman" w:eastAsiaTheme="minorEastAsia"/>
                <w:kern w:val="0"/>
                <w:sz w:val="24"/>
                <w:szCs w:val="24"/>
              </w:rPr>
              <w:fldChar w:fldCharType="end"/>
            </w:r>
            <w:r>
              <w:rPr>
                <w:rFonts w:ascii="Times New Roman" w:hAnsi="Times New Roman" w:eastAsiaTheme="minorEastAsia"/>
                <w:kern w:val="0"/>
                <w:sz w:val="24"/>
                <w:szCs w:val="24"/>
              </w:rPr>
              <w:t>的新型高等学校。</w:t>
            </w:r>
            <w:r>
              <w:rPr>
                <w:rFonts w:ascii="Times New Roman" w:hAnsi="Times New Roman"/>
                <w:kern w:val="0"/>
                <w:sz w:val="24"/>
                <w:szCs w:val="24"/>
              </w:rPr>
              <w:t>2012年，国家开放大学的组建成立，标志着广播电视大学系统在新的历史起点上踏上了新的征途。</w:t>
            </w:r>
            <w:r>
              <w:rPr>
                <w:rFonts w:ascii="Times New Roman" w:hAnsi="Times New Roman" w:eastAsiaTheme="minorEastAsia"/>
                <w:sz w:val="24"/>
                <w:szCs w:val="24"/>
              </w:rPr>
              <w:t>截止目前，国家开放大学注册在学生431.7万，其中本科104.1万，专科327.6万，包括农民学生20.7万，士官学生13.8万，残疾人学生4553名。</w:t>
            </w:r>
          </w:p>
          <w:p>
            <w:pPr>
              <w:spacing w:line="360" w:lineRule="auto"/>
              <w:ind w:firstLine="480" w:firstLineChars="200"/>
              <w:rPr>
                <w:rFonts w:ascii="Times New Roman" w:hAnsi="Times New Roman" w:eastAsia="黑体"/>
                <w:sz w:val="24"/>
                <w:szCs w:val="24"/>
              </w:rPr>
            </w:pPr>
            <w:r>
              <w:rPr>
                <w:rFonts w:ascii="Times New Roman" w:hAnsi="Times New Roman" w:eastAsiaTheme="minorEastAsia"/>
                <w:kern w:val="0"/>
                <w:sz w:val="24"/>
                <w:szCs w:val="24"/>
              </w:rPr>
              <w:t>国家开放大学强调“开放、责任、质量、多样化、国际化”的办学理念，强调优质教育资源的集聚、整合和共</w:t>
            </w:r>
            <w:r>
              <w:rPr>
                <w:rFonts w:ascii="Arial" w:hAnsi="Arial" w:cs="Arial" w:eastAsiaTheme="minorEastAsia"/>
                <w:kern w:val="0"/>
                <w:sz w:val="24"/>
                <w:szCs w:val="24"/>
              </w:rPr>
              <w:t>享，强调以</w:t>
            </w:r>
            <w:r>
              <w:fldChar w:fldCharType="begin"/>
            </w:r>
            <w:r>
              <w:instrText xml:space="preserve"> HYPERLINK "https://baike.baidu.com/item/%E7%8E%B0%E4%BB%A3%E4%BF%A1%E6%81%AF%E6%8A%80%E6%9C%AF/2426261" </w:instrText>
            </w:r>
            <w:r>
              <w:fldChar w:fldCharType="separate"/>
            </w:r>
            <w:r>
              <w:rPr>
                <w:rFonts w:ascii="Arial" w:hAnsi="Arial" w:cs="Arial" w:eastAsiaTheme="minorEastAsia"/>
                <w:kern w:val="0"/>
                <w:sz w:val="24"/>
                <w:szCs w:val="24"/>
              </w:rPr>
              <w:t>现代信息技术</w:t>
            </w:r>
            <w:r>
              <w:rPr>
                <w:rFonts w:ascii="Arial" w:hAnsi="Arial" w:cs="Arial" w:eastAsiaTheme="minorEastAsia"/>
                <w:kern w:val="0"/>
                <w:sz w:val="24"/>
                <w:szCs w:val="24"/>
              </w:rPr>
              <w:fldChar w:fldCharType="end"/>
            </w:r>
            <w:r>
              <w:rPr>
                <w:rFonts w:ascii="Arial" w:hAnsi="Arial" w:cs="Arial" w:eastAsiaTheme="minorEastAsia"/>
                <w:kern w:val="0"/>
                <w:sz w:val="24"/>
                <w:szCs w:val="24"/>
              </w:rPr>
              <w:t>为支撑，探索现代信息技术与教育的深度融合。</w:t>
            </w:r>
            <w:r>
              <w:rPr>
                <w:rFonts w:hint="eastAsia" w:asciiTheme="minorEastAsia" w:hAnsiTheme="minorEastAsia" w:eastAsiaTheme="minorEastAsia" w:cstheme="minorEastAsia"/>
                <w:kern w:val="0"/>
                <w:sz w:val="24"/>
                <w:szCs w:val="24"/>
              </w:rPr>
              <w:t>推进现代科技与教育的深度融合，搭建终身学习“立交桥”，适应国家经济社会发展和人的全面发展需要，促进终身教育体系建设，促进全民学习、终身学习的学习型社会形成。</w:t>
            </w:r>
          </w:p>
          <w:p>
            <w:pPr>
              <w:tabs>
                <w:tab w:val="left" w:pos="2316"/>
              </w:tabs>
              <w:rPr>
                <w:rFonts w:ascii="Times New Roman" w:hAnsi="Times New Roman" w:eastAsia="黑体"/>
                <w:sz w:val="24"/>
                <w:szCs w:val="24"/>
              </w:rPr>
            </w:pPr>
            <w:r>
              <w:rPr>
                <w:rFonts w:ascii="Times New Roman" w:hAnsi="Times New Roman" w:eastAsia="黑体"/>
                <w:sz w:val="24"/>
                <w:szCs w:val="24"/>
              </w:rPr>
              <w:tab/>
            </w:r>
          </w:p>
        </w:tc>
      </w:tr>
    </w:tbl>
    <w:p>
      <w:pPr>
        <w:spacing w:line="580" w:lineRule="exact"/>
        <w:rPr>
          <w:rFonts w:ascii="Times New Roman" w:hAnsi="Times New Roman" w:eastAsia="华文楷体"/>
          <w:sz w:val="24"/>
          <w:szCs w:val="24"/>
        </w:rPr>
      </w:pPr>
      <w:r>
        <w:rPr>
          <w:rFonts w:ascii="Times New Roman" w:hAnsi="华文楷体" w:eastAsia="华文楷体"/>
          <w:sz w:val="24"/>
          <w:szCs w:val="24"/>
        </w:rPr>
        <w:t>注：专业平均年招生规模</w:t>
      </w:r>
      <w:r>
        <w:rPr>
          <w:rFonts w:ascii="Times New Roman" w:hAnsi="Times New Roman" w:eastAsia="华文楷体"/>
          <w:sz w:val="24"/>
          <w:szCs w:val="24"/>
        </w:rPr>
        <w:t>=</w:t>
      </w:r>
      <w:r>
        <w:rPr>
          <w:rFonts w:ascii="Times New Roman" w:hAnsi="华文楷体" w:eastAsia="华文楷体"/>
          <w:sz w:val="24"/>
          <w:szCs w:val="24"/>
        </w:rPr>
        <w:t>学校年招生数</w:t>
      </w:r>
      <w:r>
        <w:rPr>
          <w:rFonts w:ascii="Times New Roman" w:hAnsi="Times New Roman" w:eastAsia="华文楷体"/>
          <w:sz w:val="24"/>
          <w:szCs w:val="24"/>
        </w:rPr>
        <w:t>÷</w:t>
      </w:r>
      <w:r>
        <w:rPr>
          <w:rFonts w:ascii="Times New Roman" w:hAnsi="华文楷体" w:eastAsia="华文楷体"/>
          <w:sz w:val="24"/>
          <w:szCs w:val="24"/>
        </w:rPr>
        <w:t>学校现有专业总数</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24"/>
          <w:szCs w:val="24"/>
        </w:rPr>
        <w:br w:type="page"/>
      </w:r>
      <w:r>
        <w:rPr>
          <w:rFonts w:ascii="Times New Roman" w:hAnsi="Times New Roman" w:eastAsia="黑体"/>
          <w:sz w:val="32"/>
          <w:szCs w:val="32"/>
        </w:rPr>
        <w:t>增设专业的理由和基础</w:t>
      </w:r>
    </w:p>
    <w:tbl>
      <w:tblPr>
        <w:tblStyle w:val="11"/>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131" w:hRule="atLeast"/>
          <w:jc w:val="center"/>
        </w:trPr>
        <w:tc>
          <w:tcPr>
            <w:tcW w:w="9000" w:type="dxa"/>
            <w:tcBorders>
              <w:top w:val="single" w:color="auto" w:sz="4" w:space="0"/>
              <w:left w:val="single" w:color="auto" w:sz="4" w:space="0"/>
              <w:bottom w:val="single" w:color="auto" w:sz="4" w:space="0"/>
              <w:right w:val="single" w:color="auto" w:sz="4" w:space="0"/>
            </w:tcBorders>
          </w:tcPr>
          <w:p>
            <w:pPr>
              <w:spacing w:line="580" w:lineRule="exact"/>
              <w:rPr>
                <w:rFonts w:ascii="Times New Roman" w:hAnsi="Times New Roman" w:eastAsiaTheme="minorEastAsia"/>
                <w:sz w:val="24"/>
                <w:szCs w:val="24"/>
              </w:rPr>
            </w:pPr>
            <w:r>
              <w:rPr>
                <w:rFonts w:ascii="Times New Roman" w:hAnsiTheme="minorEastAsia" w:eastAsiaTheme="minorEastAsia"/>
                <w:sz w:val="24"/>
                <w:szCs w:val="24"/>
              </w:rPr>
              <w:t>（包括申请增设专业的主要理由、专业筹建情况、学校专业发展规划及人才需求预测情况等方面的内容）</w:t>
            </w:r>
          </w:p>
          <w:p>
            <w:pPr>
              <w:pStyle w:val="21"/>
              <w:numPr>
                <w:ilvl w:val="0"/>
                <w:numId w:val="1"/>
              </w:numPr>
              <w:spacing w:line="360" w:lineRule="auto"/>
              <w:ind w:firstLineChars="0"/>
              <w:rPr>
                <w:rFonts w:asciiTheme="majorEastAsia" w:hAnsiTheme="majorEastAsia" w:eastAsiaTheme="majorEastAsia"/>
                <w:b/>
                <w:sz w:val="24"/>
                <w:szCs w:val="24"/>
              </w:rPr>
            </w:pPr>
            <w:r>
              <w:rPr>
                <w:rFonts w:hint="eastAsia" w:asciiTheme="majorEastAsia" w:hAnsiTheme="majorEastAsia" w:eastAsiaTheme="majorEastAsia"/>
                <w:b/>
                <w:sz w:val="24"/>
                <w:szCs w:val="24"/>
              </w:rPr>
              <w:t>申请增设专业的主要理由</w:t>
            </w:r>
          </w:p>
          <w:p>
            <w:pPr>
              <w:spacing w:line="360" w:lineRule="auto"/>
              <w:ind w:firstLine="482" w:firstLineChars="200"/>
              <w:rPr>
                <w:rFonts w:asciiTheme="majorEastAsia" w:hAnsiTheme="majorEastAsia" w:eastAsiaTheme="majorEastAsia"/>
                <w:b/>
                <w:bCs/>
                <w:color w:val="333333"/>
                <w:kern w:val="0"/>
                <w:sz w:val="24"/>
                <w:szCs w:val="24"/>
              </w:rPr>
            </w:pPr>
            <w:r>
              <w:rPr>
                <w:rFonts w:ascii="Times New Roman" w:hAnsi="Times New Roman" w:eastAsiaTheme="majorEastAsia"/>
                <w:b/>
                <w:bCs/>
                <w:color w:val="333333"/>
                <w:kern w:val="0"/>
                <w:sz w:val="24"/>
                <w:szCs w:val="24"/>
              </w:rPr>
              <w:t>1</w:t>
            </w:r>
            <w:r>
              <w:rPr>
                <w:rFonts w:hint="eastAsia" w:asciiTheme="majorEastAsia" w:hAnsiTheme="majorEastAsia" w:eastAsiaTheme="majorEastAsia"/>
                <w:b/>
                <w:bCs/>
                <w:color w:val="333333"/>
                <w:kern w:val="0"/>
                <w:sz w:val="24"/>
                <w:szCs w:val="24"/>
              </w:rPr>
              <w:t>.专业设置的行业背景</w:t>
            </w:r>
          </w:p>
          <w:p>
            <w:pPr>
              <w:widowControl/>
              <w:spacing w:line="360" w:lineRule="auto"/>
              <w:ind w:firstLine="480" w:firstLineChars="200"/>
              <w:rPr>
                <w:rFonts w:ascii="Times New Roman" w:hAnsi="Times New Roman" w:eastAsiaTheme="majorEastAsia"/>
                <w:color w:val="333333"/>
                <w:kern w:val="0"/>
                <w:sz w:val="24"/>
                <w:szCs w:val="24"/>
              </w:rPr>
            </w:pPr>
            <w:r>
              <w:rPr>
                <w:rFonts w:ascii="Times New Roman" w:hAnsi="Times New Roman" w:eastAsiaTheme="majorEastAsia"/>
                <w:color w:val="333333"/>
                <w:kern w:val="0"/>
                <w:sz w:val="24"/>
                <w:szCs w:val="24"/>
              </w:rPr>
              <w:t>近年来，汽车工业作为我国国民经济的支柱产业得到了迅猛发展，我国已成为世界第一汽车消费和生产大国，且目前仍以较快的速度发展。汽车产业规模迅速扩大，汽车保有量增长迅猛。据中国汽车工业协会2019年1月发布的数据，2018年，我国汽车工业总体运行平稳，全年汽车产销分别完成2780.92万辆和2808.06万辆，连续十年蝉联全球第一，新能源汽车继续保持高速增长，出口呈现较快增长。根据交通运输部发布的《交通运输业智能交通发展战略（2012—2020年）》预测，2020年，我国汽车保有量将超过2亿辆。通过上述数据，可以看出汽车在中国将会有一个庞大的保有量。 </w:t>
            </w:r>
          </w:p>
          <w:p>
            <w:pPr>
              <w:adjustRightInd w:val="0"/>
              <w:spacing w:line="360" w:lineRule="auto"/>
              <w:ind w:firstLine="480" w:firstLineChars="200"/>
              <w:rPr>
                <w:rFonts w:asciiTheme="majorEastAsia" w:hAnsiTheme="majorEastAsia" w:eastAsiaTheme="majorEastAsia"/>
                <w:color w:val="333333"/>
                <w:kern w:val="0"/>
                <w:sz w:val="24"/>
                <w:szCs w:val="24"/>
              </w:rPr>
            </w:pPr>
            <w:r>
              <w:rPr>
                <w:rFonts w:asciiTheme="majorEastAsia" w:hAnsiTheme="majorEastAsia" w:eastAsiaTheme="majorEastAsia"/>
                <w:color w:val="333333"/>
                <w:kern w:val="0"/>
                <w:sz w:val="24"/>
                <w:szCs w:val="24"/>
              </w:rPr>
              <w:t>随着汽车工业的迅速发展，与汽车相关的专业也逐渐“热”了起来。庞大的汽车市场，急需一批具备汽车工程设计、制造、运用、检测维修与汽车营销等汽车专业知识的人才，特别是高级汽车、新型汽车设计开发人才的需求。同时，围绕安全、节能、环保三大主题的汽车新技术的兴起，使汽车行业与当今的尖端科技紧联系在一起，车辆工程专业研究的范围也更加广泛，涉及汽车、机车车辆、拖拉机、军用车辆及工程车辆等陆上移动机械新的理论、技术和方法等，为本专业的学子提供了广阔的发展空间。</w:t>
            </w:r>
          </w:p>
          <w:p>
            <w:pPr>
              <w:adjustRightInd w:val="0"/>
              <w:spacing w:line="360" w:lineRule="auto"/>
              <w:ind w:firstLine="482" w:firstLineChars="200"/>
              <w:rPr>
                <w:rFonts w:hint="eastAsia" w:ascii="Times New Roman" w:hAnsi="Times New Roman" w:eastAsiaTheme="majorEastAsia"/>
                <w:b/>
                <w:bCs/>
                <w:color w:val="333333"/>
                <w:kern w:val="0"/>
                <w:sz w:val="24"/>
                <w:szCs w:val="24"/>
              </w:rPr>
            </w:pPr>
            <w:r>
              <w:rPr>
                <w:rFonts w:hint="eastAsia" w:ascii="Times New Roman" w:hAnsi="Times New Roman" w:eastAsiaTheme="majorEastAsia"/>
                <w:b/>
                <w:bCs/>
                <w:color w:val="333333"/>
                <w:kern w:val="0"/>
                <w:sz w:val="24"/>
                <w:szCs w:val="24"/>
              </w:rPr>
              <w:t>2.专业人才需求预测分析</w:t>
            </w:r>
          </w:p>
          <w:p>
            <w:pPr>
              <w:adjustRightInd w:val="0"/>
              <w:spacing w:line="360" w:lineRule="auto"/>
              <w:ind w:firstLine="482" w:firstLineChars="200"/>
              <w:rPr>
                <w:rFonts w:hint="eastAsia" w:ascii="Times New Roman" w:hAnsi="Times New Roman" w:eastAsiaTheme="majorEastAsia"/>
                <w:b/>
                <w:bCs/>
                <w:color w:val="333333"/>
                <w:kern w:val="0"/>
                <w:sz w:val="24"/>
                <w:szCs w:val="24"/>
              </w:rPr>
            </w:pPr>
            <w:r>
              <w:rPr>
                <w:rFonts w:hint="eastAsia" w:ascii="Times New Roman" w:hAnsi="Times New Roman" w:eastAsiaTheme="majorEastAsia"/>
                <w:b/>
                <w:bCs/>
                <w:color w:val="333333"/>
                <w:kern w:val="0"/>
                <w:sz w:val="24"/>
                <w:szCs w:val="24"/>
              </w:rPr>
              <w:t>（1）专升本学历提升的需求</w:t>
            </w:r>
          </w:p>
          <w:p>
            <w:pPr>
              <w:adjustRightInd w:val="0"/>
              <w:spacing w:line="360" w:lineRule="auto"/>
              <w:ind w:firstLine="480" w:firstLineChars="200"/>
              <w:rPr>
                <w:rFonts w:asciiTheme="majorEastAsia" w:hAnsiTheme="majorEastAsia" w:eastAsiaTheme="majorEastAsia"/>
                <w:color w:val="333333"/>
                <w:kern w:val="0"/>
                <w:sz w:val="24"/>
                <w:szCs w:val="24"/>
              </w:rPr>
            </w:pPr>
            <w:r>
              <w:rPr>
                <w:rFonts w:hint="eastAsia" w:asciiTheme="majorEastAsia" w:hAnsiTheme="majorEastAsia" w:eastAsiaTheme="majorEastAsia"/>
                <w:color w:val="333333"/>
                <w:kern w:val="0"/>
                <w:sz w:val="24"/>
                <w:szCs w:val="24"/>
              </w:rPr>
              <w:t>国家开</w:t>
            </w:r>
            <w:r>
              <w:rPr>
                <w:rFonts w:ascii="Times New Roman" w:hAnsi="Times New Roman" w:eastAsiaTheme="majorEastAsia"/>
                <w:color w:val="333333"/>
                <w:kern w:val="0"/>
                <w:sz w:val="24"/>
                <w:szCs w:val="24"/>
              </w:rPr>
              <w:t>放大学在学历教育方面，一直开设有汽车（专科）专业，从图1</w:t>
            </w:r>
            <w:r>
              <w:rPr>
                <w:rFonts w:hint="eastAsia" w:ascii="Times New Roman" w:hAnsi="Times New Roman" w:eastAsiaTheme="majorEastAsia"/>
                <w:color w:val="333333"/>
                <w:kern w:val="0"/>
                <w:sz w:val="24"/>
                <w:szCs w:val="24"/>
              </w:rPr>
              <w:t>和图2的</w:t>
            </w:r>
            <w:r>
              <w:rPr>
                <w:rFonts w:ascii="Times New Roman" w:hAnsi="Times New Roman" w:eastAsiaTheme="majorEastAsia"/>
                <w:color w:val="333333"/>
                <w:kern w:val="0"/>
                <w:sz w:val="24"/>
                <w:szCs w:val="24"/>
              </w:rPr>
              <w:t>招生数据表格中可以看出，汽车（专科）专业的生源一直比较稳定，每学</w:t>
            </w:r>
            <w:r>
              <w:rPr>
                <w:rFonts w:hint="eastAsia" w:ascii="Times New Roman" w:hAnsi="Times New Roman" w:eastAsiaTheme="majorEastAsia"/>
                <w:color w:val="333333"/>
                <w:kern w:val="0"/>
                <w:sz w:val="24"/>
                <w:szCs w:val="24"/>
              </w:rPr>
              <w:t>年</w:t>
            </w:r>
            <w:r>
              <w:rPr>
                <w:rFonts w:ascii="Times New Roman" w:hAnsi="Times New Roman" w:eastAsiaTheme="majorEastAsia"/>
                <w:color w:val="333333"/>
                <w:kern w:val="0"/>
                <w:sz w:val="24"/>
                <w:szCs w:val="24"/>
              </w:rPr>
              <w:t>都保持在1</w:t>
            </w:r>
            <w:r>
              <w:rPr>
                <w:rFonts w:hint="eastAsia" w:ascii="Times New Roman" w:hAnsi="Times New Roman" w:eastAsiaTheme="majorEastAsia"/>
                <w:color w:val="333333"/>
                <w:kern w:val="0"/>
                <w:sz w:val="24"/>
                <w:szCs w:val="24"/>
              </w:rPr>
              <w:t>万以上</w:t>
            </w:r>
            <w:r>
              <w:rPr>
                <w:rFonts w:ascii="Times New Roman" w:hAnsi="Times New Roman" w:eastAsiaTheme="majorEastAsia"/>
                <w:color w:val="333333"/>
                <w:kern w:val="0"/>
                <w:sz w:val="24"/>
                <w:szCs w:val="24"/>
              </w:rPr>
              <w:t>，</w:t>
            </w:r>
            <w:r>
              <w:rPr>
                <w:rFonts w:hint="eastAsia" w:ascii="Times New Roman" w:hAnsi="Times New Roman" w:eastAsiaTheme="majorEastAsia"/>
                <w:color w:val="333333"/>
                <w:kern w:val="0"/>
                <w:sz w:val="24"/>
                <w:szCs w:val="24"/>
              </w:rPr>
              <w:t>且生源数量稳步上升，</w:t>
            </w:r>
            <w:r>
              <w:rPr>
                <w:rFonts w:ascii="Times New Roman" w:hAnsi="Times New Roman" w:eastAsiaTheme="majorEastAsia"/>
                <w:color w:val="333333"/>
                <w:kern w:val="0"/>
                <w:sz w:val="24"/>
                <w:szCs w:val="24"/>
              </w:rPr>
              <w:t>招生数量达到了相当规模，而该专业学生毕业以后的继续深造和能力提升，需要一个合理的渠道。另外，国开开设的城市轨道交通运营管理（专科）专业，18年</w:t>
            </w:r>
            <w:r>
              <w:rPr>
                <w:rFonts w:hint="eastAsia" w:ascii="Times New Roman" w:hAnsi="Times New Roman" w:eastAsiaTheme="majorEastAsia"/>
                <w:color w:val="333333"/>
                <w:kern w:val="0"/>
                <w:sz w:val="24"/>
                <w:szCs w:val="24"/>
              </w:rPr>
              <w:t>度</w:t>
            </w:r>
            <w:r>
              <w:rPr>
                <w:rFonts w:ascii="Times New Roman" w:hAnsi="Times New Roman" w:eastAsiaTheme="majorEastAsia"/>
                <w:color w:val="333333"/>
                <w:kern w:val="0"/>
                <w:sz w:val="24"/>
                <w:szCs w:val="24"/>
              </w:rPr>
              <w:t>招生达到11901人，这个专业的学生同样有学历提升的需求。而机电学科目前只开设机械设计制造及其自动化（本科）一</w:t>
            </w:r>
            <w:r>
              <w:rPr>
                <w:rFonts w:hint="eastAsia" w:asciiTheme="majorEastAsia" w:hAnsiTheme="majorEastAsia" w:eastAsiaTheme="majorEastAsia"/>
                <w:color w:val="333333"/>
                <w:kern w:val="0"/>
                <w:sz w:val="24"/>
                <w:szCs w:val="24"/>
              </w:rPr>
              <w:t>个专业，没有对口的汽车、轨道交通等本科专业，所以从生源学历提升需求来说，车辆工程（本科）专业的</w:t>
            </w:r>
            <w:r>
              <w:rPr>
                <w:rFonts w:asciiTheme="majorEastAsia" w:hAnsiTheme="majorEastAsia" w:eastAsiaTheme="majorEastAsia"/>
                <w:color w:val="333333"/>
                <w:kern w:val="0"/>
                <w:sz w:val="24"/>
                <w:szCs w:val="24"/>
              </w:rPr>
              <w:t>开设有一定的必要性。</w:t>
            </w:r>
          </w:p>
          <w:p>
            <w:pPr>
              <w:adjustRightInd w:val="0"/>
              <w:snapToGrid w:val="0"/>
              <w:spacing w:before="156" w:beforeLines="50" w:after="156" w:afterLines="50" w:line="360" w:lineRule="auto"/>
              <w:jc w:val="center"/>
            </w:pPr>
            <w:r>
              <w:drawing>
                <wp:inline distT="0" distB="0" distL="0" distR="0">
                  <wp:extent cx="4716780" cy="284226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adjustRightInd w:val="0"/>
              <w:snapToGrid w:val="0"/>
              <w:jc w:val="center"/>
              <w:rPr>
                <w:rFonts w:ascii="Times New Roman" w:hAnsi="Times New Roman" w:eastAsiaTheme="minorEastAsia"/>
              </w:rPr>
            </w:pPr>
            <w:r>
              <w:rPr>
                <w:rFonts w:ascii="Times New Roman" w:hAnsi="Times New Roman" w:eastAsiaTheme="minorEastAsia"/>
              </w:rPr>
              <w:t>图1 汽车运用与维修技术专业（专科）招生数据</w:t>
            </w:r>
          </w:p>
          <w:p>
            <w:pPr>
              <w:adjustRightInd w:val="0"/>
              <w:snapToGrid w:val="0"/>
              <w:jc w:val="center"/>
              <w:rPr>
                <w:rFonts w:ascii="Times New Roman" w:hAnsi="Times New Roman" w:eastAsia="微软雅黑"/>
              </w:rPr>
            </w:pPr>
            <w:r>
              <w:rPr>
                <w:rFonts w:ascii="Times New Roman" w:hAnsi="Times New Roman" w:eastAsia="微软雅黑"/>
              </w:rPr>
              <w:drawing>
                <wp:inline distT="0" distB="0" distL="0" distR="0">
                  <wp:extent cx="3630295" cy="2809875"/>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adjustRightInd w:val="0"/>
              <w:snapToGrid w:val="0"/>
              <w:jc w:val="center"/>
              <w:rPr>
                <w:rFonts w:ascii="Times New Roman" w:hAnsi="Times New Roman" w:eastAsiaTheme="majorEastAsia"/>
              </w:rPr>
            </w:pPr>
            <w:r>
              <w:rPr>
                <w:rFonts w:ascii="Times New Roman" w:hAnsi="Times New Roman" w:eastAsiaTheme="majorEastAsia"/>
              </w:rPr>
              <w:t>图2 城市轨道交通运营管理专业（专科）招生数据</w:t>
            </w:r>
          </w:p>
          <w:p>
            <w:pPr>
              <w:adjustRightInd w:val="0"/>
              <w:spacing w:line="360" w:lineRule="auto"/>
              <w:ind w:firstLine="482" w:firstLineChars="200"/>
              <w:rPr>
                <w:rFonts w:ascii="Times New Roman" w:hAnsi="Times New Roman" w:eastAsiaTheme="majorEastAsia"/>
                <w:b/>
                <w:bCs/>
                <w:color w:val="333333"/>
                <w:kern w:val="0"/>
                <w:sz w:val="24"/>
                <w:szCs w:val="24"/>
              </w:rPr>
            </w:pPr>
            <w:r>
              <w:rPr>
                <w:rFonts w:ascii="Times New Roman" w:hAnsi="Times New Roman" w:eastAsiaTheme="majorEastAsia"/>
                <w:b/>
                <w:bCs/>
                <w:color w:val="333333"/>
                <w:kern w:val="0"/>
                <w:sz w:val="24"/>
                <w:szCs w:val="24"/>
              </w:rPr>
              <w:t>（2）汽车人才面临结构性短缺</w:t>
            </w:r>
          </w:p>
          <w:p>
            <w:pPr>
              <w:adjustRightInd w:val="0"/>
              <w:spacing w:line="360" w:lineRule="auto"/>
              <w:ind w:firstLine="480" w:firstLineChars="200"/>
              <w:rPr>
                <w:rFonts w:ascii="Times New Roman" w:hAnsi="Times New Roman" w:eastAsiaTheme="majorEastAsia"/>
                <w:color w:val="333333"/>
                <w:kern w:val="0"/>
                <w:sz w:val="24"/>
                <w:szCs w:val="24"/>
              </w:rPr>
            </w:pPr>
            <w:r>
              <w:rPr>
                <w:rFonts w:ascii="Times New Roman" w:hAnsi="Times New Roman" w:eastAsiaTheme="majorEastAsia"/>
                <w:color w:val="333333"/>
                <w:kern w:val="0"/>
                <w:sz w:val="24"/>
                <w:szCs w:val="24"/>
              </w:rPr>
              <w:t>在数量和质量之外，汽车人才同样面临着结构性的短缺。我国汽车行业的迅速全面发展，需要研发、检测、维修、营销、定损、评估、金融等不同领域的人才，而现有的高等学校汽车专业教育和职业教育大多在培养工程技术人员上有一定基础，对其他环节人才如汽车检测、维修、定损、汽车评估与汽车售后服务等培养较为短缺、薄弱，人才结构不甚合理。</w:t>
            </w:r>
          </w:p>
          <w:p>
            <w:pPr>
              <w:adjustRightInd w:val="0"/>
              <w:spacing w:line="360" w:lineRule="auto"/>
              <w:ind w:firstLine="482" w:firstLineChars="200"/>
              <w:rPr>
                <w:rFonts w:ascii="Times New Roman" w:hAnsi="Times New Roman" w:eastAsiaTheme="majorEastAsia"/>
                <w:b/>
                <w:bCs/>
                <w:color w:val="333333"/>
                <w:kern w:val="0"/>
                <w:sz w:val="24"/>
                <w:szCs w:val="24"/>
              </w:rPr>
            </w:pPr>
            <w:r>
              <w:rPr>
                <w:rFonts w:ascii="Times New Roman" w:hAnsi="Times New Roman" w:eastAsiaTheme="majorEastAsia"/>
                <w:b/>
                <w:bCs/>
                <w:color w:val="333333"/>
                <w:kern w:val="0"/>
                <w:sz w:val="24"/>
                <w:szCs w:val="24"/>
              </w:rPr>
              <w:t>（3）</w:t>
            </w:r>
            <w:r>
              <w:rPr>
                <w:rFonts w:hint="eastAsia" w:ascii="Times New Roman" w:hAnsi="Times New Roman" w:eastAsiaTheme="majorEastAsia"/>
                <w:b/>
                <w:bCs/>
                <w:color w:val="333333"/>
                <w:kern w:val="0"/>
                <w:sz w:val="24"/>
                <w:szCs w:val="24"/>
              </w:rPr>
              <w:t>汽车行业对于混合型人才需求急剧升温</w:t>
            </w:r>
          </w:p>
          <w:p>
            <w:pPr>
              <w:pStyle w:val="10"/>
              <w:spacing w:before="0" w:beforeAutospacing="0" w:after="0" w:afterAutospacing="0" w:line="360" w:lineRule="auto"/>
              <w:ind w:firstLine="480" w:firstLineChars="200"/>
              <w:rPr>
                <w:rFonts w:hint="eastAsia" w:ascii="&amp;quot" w:hAnsi="&amp;quot"/>
                <w:color w:val="404040"/>
              </w:rPr>
            </w:pPr>
            <w:r>
              <w:rPr>
                <w:rFonts w:hint="eastAsia" w:asciiTheme="majorEastAsia" w:hAnsiTheme="majorEastAsia" w:eastAsiaTheme="majorEastAsia"/>
                <w:color w:val="333333"/>
              </w:rPr>
              <w:t>目前，传统机械制造领域与电子信息互联网领域正在逐渐融合，新能源汽车与智能汽车领域也快速快速发展，汽车行业对于混合型人才的需求也越来越多。</w:t>
            </w:r>
            <w:r>
              <w:rPr>
                <w:rFonts w:ascii="&amp;quot" w:hAnsi="&amp;quot"/>
                <w:color w:val="404040"/>
              </w:rPr>
              <w:t>根据有关资料，2017年汽车行业整体的人才吸引指数为1.046，高居行业吸引力排行榜第三，仅次于互联网和房地产行业。另有相关数据显示，2017年，我国普通高校车辆工程专业毕业生规模为18000-20000名，与2013年相比增长了近50%。就业率方面，2017年车辆工程专业全国就业率区间为90%-95%，实现了2015年以来的三连涨。相关数据显示，2020年我国新能源汽车领域人才需求达到85万，尚有68万的缺口，而整个行业的智能网联汽车人才不足2万人，尤其是研发人才缺口极大，严重制约了中国智能网联汽车的发展。而且，未来五年汽车行业人才需求已经进入社会总体需求的前五名，汽车类专业人才先后被人才网和国家人事部列为紧缺人才、急需人才行列。</w:t>
            </w:r>
            <w:r>
              <w:rPr>
                <w:rFonts w:hint="eastAsia" w:asciiTheme="majorEastAsia" w:hAnsiTheme="majorEastAsia" w:eastAsiaTheme="majorEastAsia"/>
                <w:color w:val="333333"/>
              </w:rPr>
              <w:t>这也为开设车辆工程本科专业提供了良好的契机和重要基础。</w:t>
            </w:r>
          </w:p>
          <w:p>
            <w:pPr>
              <w:adjustRightInd w:val="0"/>
              <w:spacing w:line="360" w:lineRule="auto"/>
              <w:ind w:firstLine="482" w:firstLineChars="200"/>
              <w:rPr>
                <w:rFonts w:ascii="Times New Roman" w:hAnsi="Times New Roman" w:eastAsiaTheme="majorEastAsia"/>
                <w:b/>
                <w:bCs/>
                <w:color w:val="333333"/>
                <w:kern w:val="0"/>
                <w:sz w:val="24"/>
                <w:szCs w:val="24"/>
              </w:rPr>
            </w:pPr>
            <w:r>
              <w:rPr>
                <w:rFonts w:hint="eastAsia" w:ascii="Times New Roman" w:hAnsi="Times New Roman" w:eastAsiaTheme="majorEastAsia"/>
                <w:b/>
                <w:bCs/>
                <w:color w:val="333333"/>
                <w:kern w:val="0"/>
                <w:sz w:val="24"/>
                <w:szCs w:val="24"/>
              </w:rPr>
              <w:t>（4）国开现有专业分析</w:t>
            </w:r>
          </w:p>
          <w:p>
            <w:pPr>
              <w:snapToGrid w:val="0"/>
              <w:spacing w:line="360" w:lineRule="auto"/>
              <w:ind w:firstLine="480" w:firstLineChars="200"/>
              <w:rPr>
                <w:rFonts w:hint="eastAsia" w:ascii="&amp;quot" w:hAnsi="&amp;quot" w:cs="宋体"/>
                <w:color w:val="404040"/>
                <w:kern w:val="0"/>
                <w:sz w:val="24"/>
                <w:szCs w:val="24"/>
              </w:rPr>
            </w:pPr>
            <w:r>
              <w:rPr>
                <w:rFonts w:hint="eastAsia" w:ascii="Times New Roman" w:hAnsi="Times New Roman"/>
                <w:sz w:val="24"/>
                <w:szCs w:val="24"/>
              </w:rPr>
              <w:t>国家开放大学现有“汽车运用与维修技术”（专科）等几个专业，经过多年的努力，目前招生数量和学生毕业数量均达到了相当规模，而该专业学生毕业以后的继续深造和能力提升，需要一个合理的渠道。针对专业对接的合理性而言，车辆工程（专升本）专业不管是在专业培养目标，还是在课程设置以及教学实施等方面均是最佳接口。另外，</w:t>
            </w:r>
            <w:r>
              <w:rPr>
                <w:rFonts w:hint="eastAsia" w:ascii="&amp;quot" w:hAnsi="&amp;quot" w:cs="宋体"/>
                <w:color w:val="404040"/>
                <w:kern w:val="0"/>
                <w:sz w:val="24"/>
                <w:szCs w:val="24"/>
              </w:rPr>
              <w:t>目前</w:t>
            </w:r>
            <w:r>
              <w:rPr>
                <w:rFonts w:hint="eastAsia" w:ascii="Times New Roman" w:hAnsi="Times New Roman" w:eastAsiaTheme="majorEastAsia"/>
                <w:color w:val="333333"/>
                <w:kern w:val="0"/>
                <w:sz w:val="24"/>
                <w:szCs w:val="24"/>
              </w:rPr>
              <w:t>国家</w:t>
            </w:r>
            <w:r>
              <w:rPr>
                <w:rFonts w:hint="eastAsia" w:ascii="&amp;quot" w:hAnsi="&amp;quot" w:cs="宋体"/>
                <w:color w:val="404040"/>
                <w:kern w:val="0"/>
                <w:sz w:val="24"/>
                <w:szCs w:val="24"/>
              </w:rPr>
              <w:t>开放大学总部机械工程与自动化学院只开设了机械设计制造及其自动化（专升本）专业，从学科的发展来说，专业设置过于单薄，根据目前</w:t>
            </w:r>
            <w:r>
              <w:rPr>
                <w:rFonts w:ascii="&amp;quot" w:hAnsi="&amp;quot" w:cs="宋体"/>
                <w:color w:val="404040"/>
                <w:kern w:val="0"/>
                <w:sz w:val="24"/>
                <w:szCs w:val="24"/>
              </w:rPr>
              <w:t>新型学科专业的建设</w:t>
            </w:r>
            <w:r>
              <w:rPr>
                <w:rFonts w:hint="eastAsia" w:ascii="&amp;quot" w:hAnsi="&amp;quot" w:cs="宋体"/>
                <w:color w:val="404040"/>
                <w:kern w:val="0"/>
                <w:sz w:val="24"/>
                <w:szCs w:val="24"/>
              </w:rPr>
              <w:t>思路</w:t>
            </w:r>
            <w:r>
              <w:rPr>
                <w:rFonts w:ascii="&amp;quot" w:hAnsi="&amp;quot" w:cs="宋体"/>
                <w:color w:val="404040"/>
                <w:kern w:val="0"/>
                <w:sz w:val="24"/>
                <w:szCs w:val="24"/>
              </w:rPr>
              <w:t>“预测未来人才市场需求——改造升级现有专业——调整完善现有学科”，</w:t>
            </w:r>
            <w:r>
              <w:rPr>
                <w:rFonts w:hint="eastAsia" w:ascii="&amp;quot" w:hAnsi="&amp;quot" w:cs="宋体"/>
                <w:color w:val="404040"/>
                <w:kern w:val="0"/>
                <w:sz w:val="24"/>
                <w:szCs w:val="24"/>
              </w:rPr>
              <w:t>所以在专业的设置和建设上要在传统统工科专业和新工科专业方面有所突破。国开总部2020春季在部队开设了车辆工程（车辆装备技术保障方向），</w:t>
            </w:r>
            <w:r>
              <w:rPr>
                <w:rFonts w:hint="eastAsia" w:ascii="Times New Roman" w:hAnsi="Times New Roman" w:eastAsiaTheme="majorEastAsia"/>
                <w:color w:val="333333"/>
                <w:kern w:val="0"/>
                <w:sz w:val="24"/>
                <w:szCs w:val="24"/>
              </w:rPr>
              <w:t>招生范围只面向部队，没有开放教育的生源；另外，已开设的专业定位主要是面向部队车辆装备，与此次申请的车辆工程专业定位不同。理工教学部拟开设的车辆工程专业面向的服务群体比较广泛，</w:t>
            </w:r>
            <w:r>
              <w:rPr>
                <w:rFonts w:hint="eastAsia" w:ascii="Times New Roman" w:hAnsi="Times New Roman"/>
                <w:sz w:val="24"/>
                <w:szCs w:val="24"/>
              </w:rPr>
              <w:t>培养车辆工程领域的设计制造、检测、诊断、维修、运营管理等</w:t>
            </w:r>
            <w:r>
              <w:rPr>
                <w:rFonts w:ascii="Times New Roman" w:hAnsi="Times New Roman"/>
                <w:sz w:val="24"/>
                <w:szCs w:val="24"/>
              </w:rPr>
              <w:t>工作的</w:t>
            </w:r>
            <w:r>
              <w:rPr>
                <w:rFonts w:ascii="Times New Roman" w:hAnsi="Times New Roman"/>
                <w:color w:val="000000" w:themeColor="text1"/>
                <w:sz w:val="24"/>
                <w14:textFill>
                  <w14:solidFill>
                    <w14:schemeClr w14:val="tx1"/>
                  </w14:solidFill>
                </w14:textFill>
              </w:rPr>
              <w:t>应用</w:t>
            </w:r>
            <w:r>
              <w:rPr>
                <w:rFonts w:hint="eastAsia" w:ascii="Times New Roman" w:hAnsi="Times New Roman"/>
                <w:color w:val="000000" w:themeColor="text1"/>
                <w:sz w:val="24"/>
                <w14:textFill>
                  <w14:solidFill>
                    <w14:schemeClr w14:val="tx1"/>
                  </w14:solidFill>
                </w14:textFill>
              </w:rPr>
              <w:t>型</w:t>
            </w:r>
            <w:r>
              <w:rPr>
                <w:rFonts w:ascii="Times New Roman" w:hAnsi="Times New Roman"/>
                <w:color w:val="000000" w:themeColor="text1"/>
                <w:sz w:val="24"/>
                <w14:textFill>
                  <w14:solidFill>
                    <w14:schemeClr w14:val="tx1"/>
                  </w14:solidFill>
                </w14:textFill>
              </w:rPr>
              <w:t>人才</w:t>
            </w:r>
            <w:r>
              <w:rPr>
                <w:rFonts w:hint="eastAsia" w:ascii="Times New Roman" w:hAnsi="Times New Roman" w:eastAsiaTheme="majorEastAsia"/>
                <w:color w:val="333333"/>
                <w:kern w:val="0"/>
                <w:sz w:val="24"/>
                <w:szCs w:val="24"/>
              </w:rPr>
              <w:t>。基于以上分析，国开适时开设车辆工程（专升本）专业，进一步丰富和完善机械学科建设已迫在眉睫。</w:t>
            </w:r>
          </w:p>
          <w:p>
            <w:pPr>
              <w:pStyle w:val="21"/>
              <w:numPr>
                <w:ilvl w:val="0"/>
                <w:numId w:val="1"/>
              </w:numPr>
              <w:tabs>
                <w:tab w:val="left" w:pos="948"/>
                <w:tab w:val="left" w:pos="1090"/>
              </w:tabs>
              <w:spacing w:line="360" w:lineRule="auto"/>
              <w:ind w:firstLineChars="0"/>
              <w:rPr>
                <w:rFonts w:asciiTheme="minorEastAsia" w:hAnsiTheme="minorEastAsia" w:eastAsiaTheme="minorEastAsia" w:cstheme="minorEastAsia"/>
                <w:b/>
                <w:bCs/>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专业筹建情况</w:t>
            </w:r>
          </w:p>
          <w:p>
            <w:pPr>
              <w:spacing w:line="360" w:lineRule="auto"/>
              <w:ind w:firstLine="482" w:firstLineChars="200"/>
              <w:rPr>
                <w:rFonts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1.师资队伍</w:t>
            </w:r>
          </w:p>
          <w:p>
            <w:pPr>
              <w:spacing w:line="360" w:lineRule="auto"/>
              <w:ind w:firstLine="480" w:firstLineChars="200"/>
              <w:rPr>
                <w:rFonts w:hint="eastAsia" w:asciiTheme="minorEastAsia" w:hAnsiTheme="minorEastAsia" w:eastAsiaTheme="minorEastAsia" w:cstheme="minorEastAsia"/>
                <w:color w:val="C00000"/>
                <w:kern w:val="0"/>
                <w:sz w:val="24"/>
                <w:szCs w:val="24"/>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车辆工程本科专业是由国家开放大学总部、分部共同开设，目前主要参与该专业建设的国家开放大学总部的专业教师共5人，全部为副教授，其中博士毕业3人，硕士毕业2人。截止到2016年底，全国44个省、区及单列市分部，机械学科专兼职教师总数为915人，其中专职教师614人，约占教师队伍总数67%，兼职教师301人，约占教师队伍总数的33%</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。分部为本专业的开设配置了专业责任教师、课程责任教师以及课程辅导教师，以满足教学工作的需要</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国家开放大学课程教学由总部和分部分工合作，共同完成。总部教师侧重于课程建设、教学准备、课程考核，分部教师侧重于课堂教学、网上教学、课外辅导、实践教学、作业和试卷批改，教师职责有章可循，教学过程规范。</w:t>
            </w:r>
          </w:p>
          <w:p>
            <w:pPr>
              <w:spacing w:line="360" w:lineRule="auto"/>
              <w:ind w:firstLine="480" w:firstLineChars="200"/>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可见，国家开放大学本部和分部的教师团队完全能够胜任车辆工程本科专业全部课程的建设、教学和管理工作。同时为满足高质量车辆工程本科课程建设的需要，我们将与该领域的北京理工大学、北京交通大学和北京信息科技大学深入合作，聘请知名高校的相关专业教师担任主讲教师；另外，还会聘请企业的高级工程师担任实训指导教师；聘请相关专业的专家成立专业建设委员会进行指导把关。</w:t>
            </w:r>
          </w:p>
          <w:p>
            <w:pPr>
              <w:spacing w:line="360" w:lineRule="auto"/>
              <w:ind w:firstLine="482" w:firstLineChars="200"/>
              <w:jc w:val="left"/>
              <w:rPr>
                <w:rFonts w:asciiTheme="minorEastAsia" w:hAnsiTheme="minorEastAsia" w:eastAsiaTheme="minorEastAsia" w:cstheme="minorEastAsia"/>
                <w:b/>
                <w:color w:val="000000" w:themeColor="text1"/>
                <w:kern w:val="0"/>
                <w:sz w:val="24"/>
                <w:szCs w:val="24"/>
                <w14:textFill>
                  <w14:solidFill>
                    <w14:schemeClr w14:val="tx1"/>
                  </w14:solidFill>
                </w14:textFill>
              </w:rPr>
            </w:pPr>
            <w:r>
              <w:rPr>
                <w:rFonts w:ascii="Times New Roman" w:hAnsi="Times New Roman" w:eastAsiaTheme="minorEastAsia"/>
                <w:b/>
                <w:color w:val="000000" w:themeColor="text1"/>
                <w:kern w:val="0"/>
                <w:sz w:val="24"/>
                <w:szCs w:val="24"/>
                <w14:textFill>
                  <w14:solidFill>
                    <w14:schemeClr w14:val="tx1"/>
                  </w14:solidFill>
                </w14:textFill>
              </w:rPr>
              <w:t>2</w:t>
            </w: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.开展实地和网上调研</w:t>
            </w:r>
          </w:p>
          <w:p>
            <w:pPr>
              <w:spacing w:line="360" w:lineRule="auto"/>
              <w:jc w:val="center"/>
              <w:rPr>
                <w:rFonts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drawing>
                <wp:inline distT="0" distB="0" distL="0" distR="0">
                  <wp:extent cx="2940685" cy="13506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943375" cy="1352160"/>
                          </a:xfrm>
                          <a:prstGeom prst="rect">
                            <a:avLst/>
                          </a:prstGeom>
                          <a:noFill/>
                          <a:ln>
                            <a:noFill/>
                          </a:ln>
                        </pic:spPr>
                      </pic:pic>
                    </a:graphicData>
                  </a:graphic>
                </wp:inline>
              </w:drawing>
            </w:r>
          </w:p>
          <w:p>
            <w:pPr>
              <w:spacing w:before="156" w:beforeLines="50" w:after="156" w:afterLines="50" w:line="360" w:lineRule="auto"/>
              <w:jc w:val="center"/>
              <w:rPr>
                <w:rFonts w:ascii="Times New Roman" w:hAnsi="Times New Roman" w:eastAsiaTheme="minorEastAsia"/>
                <w:color w:val="000000" w:themeColor="text1"/>
                <w:kern w:val="0"/>
                <w:sz w:val="24"/>
                <w:szCs w:val="24"/>
                <w14:textFill>
                  <w14:solidFill>
                    <w14:schemeClr w14:val="tx1"/>
                  </w14:solidFill>
                </w14:textFill>
              </w:rPr>
            </w:pPr>
            <w:r>
              <w:rPr>
                <w:rFonts w:ascii="Times New Roman" w:hAnsi="Times New Roman" w:eastAsiaTheme="minorEastAsia"/>
                <w:color w:val="000000" w:themeColor="text1"/>
                <w:kern w:val="0"/>
                <w:sz w:val="24"/>
                <w:szCs w:val="24"/>
                <w14:textFill>
                  <w14:solidFill>
                    <w14:schemeClr w14:val="tx1"/>
                  </w14:solidFill>
                </w14:textFill>
              </w:rPr>
              <w:t>图3 各分部新专业开设需求调研</w:t>
            </w:r>
          </w:p>
          <w:p>
            <w:pPr>
              <w:spacing w:line="360" w:lineRule="auto"/>
              <w:ind w:firstLine="480" w:firstLineChars="200"/>
              <w:jc w:val="left"/>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为了保证车辆工程（本科）专业的顺利开设，</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国开</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机械工程与自动化学院的老师前期做了大量的调研工作。先后实地调研了北京理工大学、北京航空航天大学、北京交通大学、北京信息科技大学和北京建筑大学五所开设车辆工程专业的本科学院，了解了车辆工程开设的可行性和专业核心课程体系，为确定本专业的培养目标积累了大量的一手资料。除了电话和邮件与国开系统的专业</w:t>
            </w:r>
            <w:r>
              <w:rPr>
                <w:rFonts w:ascii="Times New Roman" w:hAnsi="Times New Roman" w:eastAsiaTheme="minorEastAsia"/>
                <w:color w:val="000000" w:themeColor="text1"/>
                <w:kern w:val="0"/>
                <w:sz w:val="24"/>
                <w:szCs w:val="24"/>
                <w14:textFill>
                  <w14:solidFill>
                    <w14:schemeClr w14:val="tx1"/>
                  </w14:solidFill>
                </w14:textFill>
              </w:rPr>
              <w:t>负责人沟通联系外，我们在机械学科专业负责人QQ群里发起了车辆工程开设需求的投票，分部共有3</w:t>
            </w:r>
            <w:r>
              <w:rPr>
                <w:rFonts w:hint="eastAsia" w:ascii="Times New Roman" w:hAnsi="Times New Roman" w:eastAsiaTheme="minorEastAsia"/>
                <w:color w:val="000000" w:themeColor="text1"/>
                <w:kern w:val="0"/>
                <w:sz w:val="24"/>
                <w:szCs w:val="24"/>
                <w14:textFill>
                  <w14:solidFill>
                    <w14:schemeClr w14:val="tx1"/>
                  </w14:solidFill>
                </w14:textFill>
              </w:rPr>
              <w:t>4</w:t>
            </w:r>
            <w:r>
              <w:rPr>
                <w:rFonts w:ascii="Times New Roman" w:hAnsi="Times New Roman" w:eastAsiaTheme="minorEastAsia"/>
                <w:color w:val="000000" w:themeColor="text1"/>
                <w:kern w:val="0"/>
                <w:sz w:val="24"/>
                <w:szCs w:val="24"/>
                <w14:textFill>
                  <w14:solidFill>
                    <w14:schemeClr w14:val="tx1"/>
                  </w14:solidFill>
                </w14:textFill>
              </w:rPr>
              <w:t>名专业负责人参与了投票，有生源需求的分部达到27个，不了解情况的是</w:t>
            </w:r>
            <w:r>
              <w:rPr>
                <w:rFonts w:hint="eastAsia" w:ascii="Times New Roman" w:hAnsi="Times New Roman" w:eastAsiaTheme="minorEastAsia"/>
                <w:color w:val="000000" w:themeColor="text1"/>
                <w:kern w:val="0"/>
                <w:sz w:val="24"/>
                <w:szCs w:val="24"/>
                <w14:textFill>
                  <w14:solidFill>
                    <w14:schemeClr w14:val="tx1"/>
                  </w14:solidFill>
                </w14:textFill>
              </w:rPr>
              <w:t>6</w:t>
            </w:r>
            <w:r>
              <w:rPr>
                <w:rFonts w:ascii="Times New Roman" w:hAnsi="Times New Roman" w:eastAsiaTheme="minorEastAsia"/>
                <w:color w:val="000000" w:themeColor="text1"/>
                <w:kern w:val="0"/>
                <w:sz w:val="24"/>
                <w:szCs w:val="24"/>
                <w14:textFill>
                  <w14:solidFill>
                    <w14:schemeClr w14:val="tx1"/>
                  </w14:solidFill>
                </w14:textFill>
              </w:rPr>
              <w:t>个。</w:t>
            </w:r>
            <w:r>
              <w:rPr>
                <w:rFonts w:hint="eastAsia" w:ascii="Times New Roman" w:hAnsi="Times New Roman" w:eastAsiaTheme="minorEastAsia"/>
                <w:color w:val="000000" w:themeColor="text1"/>
                <w:kern w:val="0"/>
                <w:sz w:val="24"/>
                <w:szCs w:val="24"/>
                <w14:textFill>
                  <w14:solidFill>
                    <w14:schemeClr w14:val="tx1"/>
                  </w14:solidFill>
                </w14:textFill>
              </w:rPr>
              <w:t>另外，</w:t>
            </w:r>
            <w:r>
              <w:rPr>
                <w:rFonts w:hint="eastAsia" w:ascii="Times New Roman" w:hAnsi="Times New Roman"/>
                <w:sz w:val="24"/>
                <w:szCs w:val="24"/>
              </w:rPr>
              <w:t>通过对国家开放大学车辆类三个专科专业的学生调研，发现其中很大一部分学生想继续进修本科层次的车辆工程专业。</w:t>
            </w:r>
          </w:p>
          <w:p>
            <w:pPr>
              <w:spacing w:line="360" w:lineRule="auto"/>
              <w:ind w:firstLine="482" w:firstLineChars="200"/>
              <w:rPr>
                <w:rFonts w:ascii="Times New Roman" w:hAnsi="Times New Roman" w:eastAsiaTheme="minorEastAsia"/>
                <w:b/>
                <w:color w:val="000000" w:themeColor="text1"/>
                <w:kern w:val="0"/>
                <w:sz w:val="24"/>
                <w:szCs w:val="24"/>
                <w14:textFill>
                  <w14:solidFill>
                    <w14:schemeClr w14:val="tx1"/>
                  </w14:solidFill>
                </w14:textFill>
              </w:rPr>
            </w:pPr>
            <w:r>
              <w:rPr>
                <w:rFonts w:hint="eastAsia" w:ascii="Times New Roman" w:hAnsi="Times New Roman" w:eastAsiaTheme="minorEastAsia"/>
                <w:b/>
                <w:color w:val="000000" w:themeColor="text1"/>
                <w:kern w:val="0"/>
                <w:sz w:val="24"/>
                <w:szCs w:val="24"/>
                <w14:textFill>
                  <w14:solidFill>
                    <w14:schemeClr w14:val="tx1"/>
                  </w14:solidFill>
                </w14:textFill>
              </w:rPr>
              <w:t>3.资源建设</w:t>
            </w:r>
          </w:p>
          <w:p>
            <w:pPr>
              <w:adjustRightInd w:val="0"/>
              <w:snapToGrid w:val="0"/>
              <w:spacing w:line="360" w:lineRule="auto"/>
              <w:ind w:firstLine="480"/>
              <w:rPr>
                <w:rFonts w:ascii="Arial" w:hAnsi="Arial" w:cs="Arial"/>
                <w:kern w:val="0"/>
                <w:sz w:val="24"/>
                <w:szCs w:val="24"/>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国家开放大学将聘请</w:t>
            </w:r>
            <w:r>
              <w:rPr>
                <w:rFonts w:hint="eastAsia" w:eastAsiaTheme="minorEastAsia"/>
                <w:color w:val="000000" w:themeColor="text1"/>
                <w:kern w:val="0"/>
                <w:sz w:val="24"/>
                <w:szCs w:val="24"/>
                <w14:textFill>
                  <w14:solidFill>
                    <w14:schemeClr w14:val="tx1"/>
                  </w14:solidFill>
                </w14:textFill>
              </w:rPr>
              <w:t>车辆</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领域的知名教授和企业的“双师型”教师为本专业的主讲教师，由国家开放大学总部、分部、行业学院的教师团队进行资源建设，一定能够建设出优质的课程资源。</w:t>
            </w:r>
            <w:r>
              <w:rPr>
                <w:color w:val="000000"/>
                <w:sz w:val="24"/>
                <w:szCs w:val="24"/>
              </w:rPr>
              <w:t>国开教学实行</w:t>
            </w:r>
            <w:r>
              <w:rPr>
                <w:rFonts w:hint="eastAsia"/>
                <w:color w:val="000000"/>
                <w:sz w:val="24"/>
                <w:szCs w:val="24"/>
              </w:rPr>
              <w:t>“</w:t>
            </w:r>
            <w:r>
              <w:rPr>
                <w:color w:val="000000"/>
                <w:sz w:val="24"/>
                <w:szCs w:val="24"/>
              </w:rPr>
              <w:t>五统一</w:t>
            </w:r>
            <w:r>
              <w:rPr>
                <w:rFonts w:hint="eastAsia"/>
                <w:color w:val="000000"/>
                <w:sz w:val="24"/>
                <w:szCs w:val="24"/>
              </w:rPr>
              <w:t>”</w:t>
            </w:r>
            <w:r>
              <w:rPr>
                <w:color w:val="000000"/>
                <w:sz w:val="24"/>
                <w:szCs w:val="24"/>
              </w:rPr>
              <w:t>原则，在教学业务上</w:t>
            </w:r>
            <w:r>
              <w:rPr>
                <w:rFonts w:hint="eastAsia"/>
                <w:color w:val="000000"/>
                <w:sz w:val="24"/>
                <w:szCs w:val="24"/>
              </w:rPr>
              <w:t>由国家开放大学总部统一</w:t>
            </w:r>
            <w:r>
              <w:rPr>
                <w:color w:val="000000"/>
                <w:sz w:val="24"/>
                <w:szCs w:val="24"/>
              </w:rPr>
              <w:t>指导，实行统一的教学计划，统一大纲、统一教材，统一考试，统一评分标准，实行严格的教考分离制度。国家开放大学</w:t>
            </w:r>
            <w:r>
              <w:rPr>
                <w:rFonts w:hint="eastAsia"/>
                <w:color w:val="000000"/>
                <w:sz w:val="24"/>
                <w:szCs w:val="24"/>
              </w:rPr>
              <w:t>不仅</w:t>
            </w:r>
            <w:r>
              <w:rPr>
                <w:color w:val="000000"/>
                <w:sz w:val="24"/>
                <w:szCs w:val="24"/>
              </w:rPr>
              <w:t>强调一般性人才培养质量，</w:t>
            </w:r>
            <w:r>
              <w:rPr>
                <w:rFonts w:hint="eastAsia"/>
                <w:color w:val="000000"/>
                <w:sz w:val="24"/>
                <w:szCs w:val="24"/>
              </w:rPr>
              <w:t>还特别</w:t>
            </w:r>
            <w:r>
              <w:rPr>
                <w:color w:val="000000"/>
                <w:sz w:val="24"/>
                <w:szCs w:val="24"/>
              </w:rPr>
              <w:t>强调应用性、职业性和适应性，强调社会实践、实验实训、过程保证。</w:t>
            </w:r>
          </w:p>
          <w:p>
            <w:pPr>
              <w:spacing w:line="360" w:lineRule="auto"/>
              <w:ind w:firstLine="482" w:firstLineChars="200"/>
              <w:jc w:val="left"/>
              <w:rPr>
                <w:rFonts w:asciiTheme="minorEastAsia" w:hAnsiTheme="minorEastAsia" w:eastAsiaTheme="minorEastAsia" w:cstheme="minorEastAsia"/>
                <w:b/>
                <w:color w:val="000000" w:themeColor="text1"/>
                <w:kern w:val="0"/>
                <w:sz w:val="24"/>
                <w:szCs w:val="24"/>
                <w14:textFill>
                  <w14:solidFill>
                    <w14:schemeClr w14:val="tx1"/>
                  </w14:solidFill>
                </w14:textFill>
              </w:rPr>
            </w:pPr>
            <w:r>
              <w:rPr>
                <w:rFonts w:ascii="Times New Roman" w:hAnsi="Times New Roman" w:eastAsiaTheme="minorEastAsia"/>
                <w:b/>
                <w:color w:val="000000" w:themeColor="text1"/>
                <w:kern w:val="0"/>
                <w:sz w:val="24"/>
                <w:szCs w:val="24"/>
                <w14:textFill>
                  <w14:solidFill>
                    <w14:schemeClr w14:val="tx1"/>
                  </w14:solidFill>
                </w14:textFill>
              </w:rPr>
              <w:t>4</w:t>
            </w: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.与普通高校、行业企业培训中心合作，开展实践性教学</w:t>
            </w:r>
          </w:p>
          <w:p>
            <w:pPr>
              <w:pStyle w:val="26"/>
              <w:spacing w:line="360" w:lineRule="auto"/>
              <w:ind w:firstLine="480"/>
              <w:rPr>
                <w:rFonts w:asciiTheme="minorEastAsia" w:hAnsiTheme="minorEastAsia" w:eastAsiaTheme="minorEastAsia" w:cstheme="minorEastAsia"/>
                <w:color w:val="000000" w:themeColor="text1"/>
                <w:kern w:val="0"/>
                <w:sz w:val="24"/>
                <w:szCs w:val="24"/>
                <w14:textFill>
                  <w14:solidFill>
                    <w14:schemeClr w14:val="tx1"/>
                  </w14:solidFill>
                </w14:textFill>
              </w:rPr>
            </w:pPr>
            <w:r>
              <w:rPr>
                <w:rFonts w:asciiTheme="minorEastAsia" w:hAnsiTheme="minorEastAsia" w:eastAsiaTheme="minorEastAsia" w:cstheme="minorEastAsia"/>
                <w:color w:val="000000" w:themeColor="text1"/>
                <w:kern w:val="0"/>
                <w:sz w:val="24"/>
                <w:szCs w:val="24"/>
                <w14:textFill>
                  <w14:solidFill>
                    <w14:schemeClr w14:val="tx1"/>
                  </w14:solidFill>
                </w14:textFill>
              </w:rPr>
              <w:t>利用</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“校—企”、“校—校”合作联合培养办学模式</w:t>
            </w:r>
            <w:r>
              <w:rPr>
                <w:rFonts w:asciiTheme="minorEastAsia" w:hAnsiTheme="minorEastAsia" w:eastAsiaTheme="minorEastAsia" w:cstheme="minorEastAsia"/>
                <w:color w:val="000000" w:themeColor="text1"/>
                <w:kern w:val="0"/>
                <w:sz w:val="24"/>
                <w:szCs w:val="24"/>
                <w14:textFill>
                  <w14:solidFill>
                    <w14:schemeClr w14:val="tx1"/>
                  </w14:solidFill>
                </w14:textFill>
              </w:rPr>
              <w:t>完成</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实践</w:t>
            </w:r>
            <w:r>
              <w:rPr>
                <w:rFonts w:asciiTheme="minorEastAsia" w:hAnsiTheme="minorEastAsia" w:eastAsiaTheme="minorEastAsia" w:cstheme="minorEastAsia"/>
                <w:color w:val="000000" w:themeColor="text1"/>
                <w:kern w:val="0"/>
                <w:sz w:val="24"/>
                <w:szCs w:val="24"/>
                <w14:textFill>
                  <w14:solidFill>
                    <w14:schemeClr w14:val="tx1"/>
                  </w14:solidFill>
                </w14:textFill>
              </w:rPr>
              <w:t>教学，</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实现</w:t>
            </w:r>
            <w:r>
              <w:rPr>
                <w:rFonts w:asciiTheme="minorEastAsia" w:hAnsiTheme="minorEastAsia" w:eastAsiaTheme="minorEastAsia" w:cstheme="minorEastAsia"/>
                <w:color w:val="000000" w:themeColor="text1"/>
                <w:kern w:val="0"/>
                <w:sz w:val="24"/>
                <w:szCs w:val="24"/>
                <w14:textFill>
                  <w14:solidFill>
                    <w14:schemeClr w14:val="tx1"/>
                  </w14:solidFill>
                </w14:textFill>
              </w:rPr>
              <w:t>资源共享</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机械工程与自动化学院还打算利用计算机虚拟现实技术，根据车辆工程专业特点建立起与真实环境相近的实习场景，提供虚拟的课程设计和实训环境，模拟各种工程实际问题等，使学生能够“足不出户”接受便利的</w:t>
            </w:r>
            <w:r>
              <w:fldChar w:fldCharType="begin"/>
            </w:r>
            <w:r>
              <w:instrText xml:space="preserve"> HYPERLINK "https://www.baidu.com/s?wd=%E6%83%85%E6%99%AF%E6%95%99%E5%AD%A6&amp;tn=44039180_cpr&amp;fenlei=mv6quAkxTZn0IZRqIHckPjm4nH00T1d9nHT1PhRznW99nWF9uhDL0ZwV5Hcvrjm3rH6sPfKWUMw85HfYnjn4nH6sgvPsT6KdThsqpZwYTjCEQLGCpyw9Uz4Bmy-bIi4WUvYETgN-TLwGUv3En1bsnjR3PHR3" \t "_blank" </w:instrText>
            </w:r>
            <w:r>
              <w:fldChar w:fldCharType="separate"/>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情景教学</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。以全媒体理实结合一体化课程资源建设为主导，开展文字教材＋网络虚拟实验＋校外实习基地的“三位一体”的车辆工程实习实训教学体系。</w:t>
            </w:r>
          </w:p>
          <w:p>
            <w:pPr>
              <w:pStyle w:val="21"/>
              <w:numPr>
                <w:ilvl w:val="0"/>
                <w:numId w:val="1"/>
              </w:numPr>
              <w:tabs>
                <w:tab w:val="left" w:pos="948"/>
                <w:tab w:val="left" w:pos="1090"/>
              </w:tabs>
              <w:spacing w:line="360" w:lineRule="auto"/>
              <w:ind w:firstLineChars="0"/>
              <w:rPr>
                <w:rFonts w:asciiTheme="minorEastAsia" w:hAnsiTheme="minorEastAsia" w:eastAsiaTheme="minorEastAsia" w:cstheme="minorEastAsia"/>
                <w:b/>
                <w:bCs/>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学校专业发展规划</w:t>
            </w:r>
          </w:p>
          <w:p>
            <w:pPr>
              <w:pStyle w:val="2"/>
              <w:spacing w:before="0" w:after="0" w:line="360" w:lineRule="auto"/>
              <w:ind w:firstLine="482" w:firstLineChars="200"/>
              <w:rPr>
                <w:rFonts w:ascii="Times New Roman" w:hAnsi="Times New Roman" w:cs="Times New Roman" w:eastAsiaTheme="minorEastAsia"/>
                <w:bCs w:val="0"/>
                <w:color w:val="000000" w:themeColor="text1"/>
                <w:kern w:val="0"/>
                <w:sz w:val="24"/>
                <w:szCs w:val="24"/>
                <w14:textFill>
                  <w14:solidFill>
                    <w14:schemeClr w14:val="tx1"/>
                  </w14:solidFill>
                </w14:textFill>
              </w:rPr>
            </w:pPr>
            <w:bookmarkStart w:id="0" w:name="_Toc495404362"/>
            <w:r>
              <w:rPr>
                <w:rFonts w:ascii="Times New Roman" w:hAnsi="Times New Roman" w:cs="Times New Roman" w:eastAsiaTheme="minorEastAsia"/>
                <w:bCs w:val="0"/>
                <w:color w:val="000000" w:themeColor="text1"/>
                <w:kern w:val="0"/>
                <w:sz w:val="24"/>
                <w:szCs w:val="24"/>
                <w14:textFill>
                  <w14:solidFill>
                    <w14:schemeClr w14:val="tx1"/>
                  </w14:solidFill>
                </w14:textFill>
              </w:rPr>
              <w:t>1. 明</w:t>
            </w:r>
            <w:r>
              <w:rPr>
                <w:rFonts w:hint="eastAsia" w:ascii="Times New Roman" w:hAnsi="Times New Roman" w:cs="Times New Roman" w:eastAsiaTheme="minorEastAsia"/>
                <w:bCs w:val="0"/>
                <w:color w:val="000000" w:themeColor="text1"/>
                <w:kern w:val="0"/>
                <w:sz w:val="24"/>
                <w:szCs w:val="24"/>
                <w14:textFill>
                  <w14:solidFill>
                    <w14:schemeClr w14:val="tx1"/>
                  </w14:solidFill>
                </w14:textFill>
              </w:rPr>
              <w:t>确专业培养目标和规格</w:t>
            </w:r>
            <w:bookmarkEnd w:id="0"/>
          </w:p>
          <w:p>
            <w:pPr>
              <w:spacing w:line="360" w:lineRule="auto"/>
              <w:ind w:firstLine="425"/>
              <w:rPr>
                <w:rFonts w:ascii="微软雅黑" w:hAnsi="微软雅黑" w:eastAsia="微软雅黑"/>
                <w:b/>
                <w:sz w:val="28"/>
              </w:rPr>
            </w:pPr>
            <w:r>
              <w:rPr>
                <w:rFonts w:hint="eastAsia"/>
                <w:sz w:val="24"/>
                <w:szCs w:val="24"/>
              </w:rPr>
              <w:t>车辆</w:t>
            </w:r>
            <w:r>
              <w:rPr>
                <w:sz w:val="24"/>
                <w:szCs w:val="24"/>
              </w:rPr>
              <w:t>工程专业</w:t>
            </w:r>
            <w:r>
              <w:rPr>
                <w:rFonts w:hint="eastAsia"/>
                <w:sz w:val="24"/>
                <w:szCs w:val="24"/>
              </w:rPr>
              <w:t>的开设注重以国家经济发展方式转变和产业调整为导向，结合行业和区域经济特点和发展需要，优化车辆工程专业人才培养模式，在培养目标、培养手段、评价方式、模式结构等方面实现全面创新，并且注重面向汽车制造业，增强专业、课程的针对性和使用性，构建知识与能力并重、专业教育和职业教育结合的培养模式。</w:t>
            </w:r>
            <w:r>
              <w:rPr>
                <w:rFonts w:hint="eastAsia" w:asciiTheme="majorEastAsia" w:hAnsiTheme="majorEastAsia" w:eastAsiaTheme="majorEastAsia"/>
                <w:sz w:val="24"/>
              </w:rPr>
              <w:t xml:space="preserve"> </w:t>
            </w:r>
          </w:p>
          <w:p>
            <w:pPr>
              <w:pStyle w:val="2"/>
              <w:spacing w:before="0" w:after="0" w:line="360" w:lineRule="auto"/>
              <w:ind w:firstLine="482" w:firstLineChars="200"/>
              <w:rPr>
                <w:rFonts w:ascii="Times New Roman" w:hAnsi="Times New Roman" w:cs="Times New Roman" w:eastAsiaTheme="minorEastAsia"/>
                <w:bCs w:val="0"/>
                <w:color w:val="000000" w:themeColor="text1"/>
                <w:kern w:val="0"/>
                <w:sz w:val="24"/>
                <w:szCs w:val="24"/>
                <w14:textFill>
                  <w14:solidFill>
                    <w14:schemeClr w14:val="tx1"/>
                  </w14:solidFill>
                </w14:textFill>
              </w:rPr>
            </w:pPr>
            <w:bookmarkStart w:id="1" w:name="_Toc495404363"/>
            <w:r>
              <w:rPr>
                <w:rFonts w:hint="eastAsia" w:ascii="Times New Roman" w:hAnsi="Times New Roman" w:cs="Times New Roman" w:eastAsiaTheme="minorEastAsia"/>
                <w:bCs w:val="0"/>
                <w:color w:val="000000" w:themeColor="text1"/>
                <w:kern w:val="0"/>
                <w:sz w:val="24"/>
                <w:szCs w:val="24"/>
                <w14:textFill>
                  <w14:solidFill>
                    <w14:schemeClr w14:val="tx1"/>
                  </w14:solidFill>
                </w14:textFill>
              </w:rPr>
              <w:t>2</w:t>
            </w:r>
            <w:r>
              <w:rPr>
                <w:rFonts w:ascii="Times New Roman" w:hAnsi="Times New Roman" w:cs="Times New Roman" w:eastAsiaTheme="minorEastAsia"/>
                <w:bCs w:val="0"/>
                <w:color w:val="000000" w:themeColor="text1"/>
                <w:kern w:val="0"/>
                <w:sz w:val="24"/>
                <w:szCs w:val="24"/>
                <w14:textFill>
                  <w14:solidFill>
                    <w14:schemeClr w14:val="tx1"/>
                  </w14:solidFill>
                </w14:textFill>
              </w:rPr>
              <w:t>. 优化课程体系</w:t>
            </w:r>
            <w:bookmarkEnd w:id="1"/>
          </w:p>
          <w:p>
            <w:pPr>
              <w:spacing w:line="360" w:lineRule="auto"/>
              <w:ind w:firstLine="480" w:firstLineChars="200"/>
              <w:jc w:val="left"/>
              <w:rPr>
                <w:sz w:val="24"/>
                <w:szCs w:val="24"/>
              </w:rPr>
            </w:pPr>
            <w:r>
              <w:rPr>
                <w:rFonts w:hint="eastAsia"/>
                <w:sz w:val="24"/>
                <w:szCs w:val="24"/>
              </w:rPr>
              <w:t>课程体系建设必须结合市场需求、学生整体素质、人才培养的职业规划等目标因素，把企业中各不同岗位的综合能力要求作为设置课程和划分不同专业课程的凭据，课程体系建设以应用能力培养为主导，以技能培训为轴心。</w:t>
            </w:r>
          </w:p>
          <w:p>
            <w:pPr>
              <w:pStyle w:val="2"/>
              <w:spacing w:before="0" w:after="0" w:line="360" w:lineRule="auto"/>
              <w:ind w:firstLine="482" w:firstLineChars="200"/>
              <w:rPr>
                <w:rFonts w:ascii="Times New Roman" w:hAnsi="Times New Roman" w:cs="Times New Roman" w:eastAsiaTheme="minorEastAsia"/>
                <w:bCs w:val="0"/>
                <w:color w:val="000000" w:themeColor="text1"/>
                <w:kern w:val="0"/>
                <w:sz w:val="24"/>
                <w:szCs w:val="24"/>
                <w14:textFill>
                  <w14:solidFill>
                    <w14:schemeClr w14:val="tx1"/>
                  </w14:solidFill>
                </w14:textFill>
              </w:rPr>
            </w:pPr>
            <w:bookmarkStart w:id="2" w:name="_Toc495404364"/>
            <w:r>
              <w:rPr>
                <w:rFonts w:hint="eastAsia" w:ascii="Times New Roman" w:hAnsi="Times New Roman" w:cs="Times New Roman" w:eastAsiaTheme="minorEastAsia"/>
                <w:bCs w:val="0"/>
                <w:color w:val="000000" w:themeColor="text1"/>
                <w:kern w:val="0"/>
                <w:sz w:val="24"/>
                <w:szCs w:val="24"/>
                <w14:textFill>
                  <w14:solidFill>
                    <w14:schemeClr w14:val="tx1"/>
                  </w14:solidFill>
                </w14:textFill>
              </w:rPr>
              <w:t>3. 精选教学内容</w:t>
            </w:r>
            <w:bookmarkEnd w:id="2"/>
          </w:p>
          <w:p>
            <w:pPr>
              <w:spacing w:line="360" w:lineRule="auto"/>
              <w:ind w:firstLine="480" w:firstLineChars="200"/>
              <w:jc w:val="left"/>
              <w:rPr>
                <w:rFonts w:asciiTheme="majorEastAsia" w:hAnsiTheme="majorEastAsia" w:eastAsiaTheme="majorEastAsia"/>
                <w:sz w:val="24"/>
              </w:rPr>
            </w:pPr>
            <w:r>
              <w:rPr>
                <w:rFonts w:hint="eastAsia" w:asciiTheme="majorEastAsia" w:hAnsiTheme="majorEastAsia" w:eastAsiaTheme="majorEastAsia"/>
                <w:sz w:val="24"/>
              </w:rPr>
              <w:t>教学内容直接反映教学目的和人才培养的目标，是教育创新的核心。作为工科我们培养的是应用性人才，因此，必须充分考虑本专业实际和教学要求，在查阅大量参考书的基础上，研究比较各类教材的特点，博采众长，取其精华，按照科学逻辑和学生的认识特点，精心组织教学内容。并且不断用最新成果充实教学内容，与时俱进，把最新的信息及时传达给学生，使之感觉到目前所学知识的有用性。</w:t>
            </w:r>
          </w:p>
          <w:p>
            <w:pPr>
              <w:pStyle w:val="2"/>
              <w:spacing w:before="0" w:after="0" w:line="360" w:lineRule="auto"/>
              <w:ind w:firstLine="482" w:firstLineChars="200"/>
              <w:rPr>
                <w:rFonts w:ascii="Times New Roman" w:hAnsi="Times New Roman" w:cs="Times New Roman" w:eastAsiaTheme="minorEastAsia"/>
                <w:bCs w:val="0"/>
                <w:color w:val="000000" w:themeColor="text1"/>
                <w:kern w:val="0"/>
                <w:sz w:val="24"/>
                <w:szCs w:val="24"/>
                <w14:textFill>
                  <w14:solidFill>
                    <w14:schemeClr w14:val="tx1"/>
                  </w14:solidFill>
                </w14:textFill>
              </w:rPr>
            </w:pPr>
            <w:bookmarkStart w:id="3" w:name="_Toc495404365"/>
            <w:r>
              <w:rPr>
                <w:rFonts w:hint="eastAsia" w:ascii="Times New Roman" w:hAnsi="Times New Roman" w:cs="Times New Roman" w:eastAsiaTheme="minorEastAsia"/>
                <w:bCs w:val="0"/>
                <w:color w:val="000000" w:themeColor="text1"/>
                <w:kern w:val="0"/>
                <w:sz w:val="24"/>
                <w:szCs w:val="24"/>
                <w14:textFill>
                  <w14:solidFill>
                    <w14:schemeClr w14:val="tx1"/>
                  </w14:solidFill>
                </w14:textFill>
              </w:rPr>
              <w:t>4. 提升“互联网+”教育教学能力</w:t>
            </w:r>
            <w:bookmarkEnd w:id="3"/>
          </w:p>
          <w:p>
            <w:pPr>
              <w:spacing w:line="360" w:lineRule="auto"/>
              <w:ind w:firstLine="480" w:firstLineChars="200"/>
              <w:jc w:val="left"/>
              <w:rPr>
                <w:rFonts w:hint="eastAsia" w:ascii="Times New Roman" w:hAnsi="Times New Roman" w:eastAsiaTheme="majorEastAsia"/>
                <w:sz w:val="24"/>
                <w:lang w:eastAsia="zh-CN"/>
              </w:rPr>
            </w:pPr>
            <w:r>
              <w:rPr>
                <w:rFonts w:hint="eastAsia" w:ascii="Times New Roman" w:hAnsi="Times New Roman" w:eastAsiaTheme="majorEastAsia"/>
                <w:sz w:val="24"/>
              </w:rPr>
              <w:t>推进现代信息技术与远程开放教育深度融合发展，建构以网络核心课程、网络学习空间、网络教学团队、网络学习服务、网络学习测评、网络教学管理为重点的“六网融通”模式，促进教学、管理、服务等综合能力的提升</w:t>
            </w:r>
            <w:r>
              <w:rPr>
                <w:rFonts w:hint="eastAsia" w:ascii="Times New Roman" w:hAnsi="Times New Roman" w:eastAsiaTheme="majorEastAsia"/>
                <w:sz w:val="24"/>
                <w:lang w:eastAsia="zh-CN"/>
              </w:rPr>
              <w:t>。</w:t>
            </w:r>
          </w:p>
          <w:p>
            <w:pPr>
              <w:pStyle w:val="2"/>
              <w:spacing w:before="0" w:after="0" w:line="360" w:lineRule="auto"/>
              <w:ind w:firstLine="482" w:firstLineChars="200"/>
              <w:rPr>
                <w:rFonts w:ascii="Times New Roman" w:hAnsi="Times New Roman" w:cs="Times New Roman" w:eastAsiaTheme="minorEastAsia"/>
                <w:bCs w:val="0"/>
                <w:color w:val="000000" w:themeColor="text1"/>
                <w:kern w:val="0"/>
                <w:sz w:val="24"/>
                <w:szCs w:val="24"/>
                <w14:textFill>
                  <w14:solidFill>
                    <w14:schemeClr w14:val="tx1"/>
                  </w14:solidFill>
                </w14:textFill>
              </w:rPr>
            </w:pPr>
            <w:bookmarkStart w:id="4" w:name="_Toc495404366"/>
            <w:r>
              <w:rPr>
                <w:rFonts w:hint="eastAsia" w:ascii="Times New Roman" w:hAnsi="Times New Roman" w:cs="Times New Roman" w:eastAsiaTheme="minorEastAsia"/>
                <w:bCs w:val="0"/>
                <w:color w:val="000000" w:themeColor="text1"/>
                <w:kern w:val="0"/>
                <w:sz w:val="24"/>
                <w:szCs w:val="24"/>
                <w14:textFill>
                  <w14:solidFill>
                    <w14:schemeClr w14:val="tx1"/>
                  </w14:solidFill>
                </w14:textFill>
              </w:rPr>
              <w:t>5. 坚持名师名教</w:t>
            </w:r>
            <w:bookmarkEnd w:id="4"/>
          </w:p>
          <w:p>
            <w:pPr>
              <w:spacing w:line="360" w:lineRule="auto"/>
              <w:ind w:firstLine="480" w:firstLineChars="200"/>
              <w:jc w:val="left"/>
              <w:rPr>
                <w:rFonts w:ascii="Times New Roman" w:hAnsi="Times New Roman" w:eastAsiaTheme="majorEastAsia"/>
                <w:sz w:val="24"/>
              </w:rPr>
            </w:pPr>
            <w:r>
              <w:rPr>
                <w:rFonts w:hint="eastAsia" w:ascii="Times New Roman" w:hAnsi="Times New Roman" w:eastAsiaTheme="majorEastAsia"/>
                <w:sz w:val="24"/>
              </w:rPr>
              <w:t>聘请普通高校的学科专家、行业专家以及国开系统的教学名师为课程主编或主讲，指导课程建设，构建合理的、双师型、可持续发展一流师资团队，进而组成教学团队，以确保本学科人才培养和课程教学资源的质量与水平。</w:t>
            </w:r>
          </w:p>
          <w:p>
            <w:pPr>
              <w:tabs>
                <w:tab w:val="left" w:pos="948"/>
                <w:tab w:val="left" w:pos="109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四、人才需求预测</w:t>
            </w:r>
          </w:p>
          <w:p>
            <w:pPr>
              <w:pStyle w:val="3"/>
              <w:spacing w:line="360" w:lineRule="auto"/>
              <w:ind w:firstLine="480" w:firstLineChars="200"/>
              <w:rPr>
                <w:rFonts w:ascii="Times New Roman" w:hAnsi="Times New Roman" w:eastAsiaTheme="majorEastAsia"/>
                <w:sz w:val="24"/>
              </w:rPr>
            </w:pPr>
            <w:r>
              <w:rPr>
                <w:rFonts w:hint="eastAsia"/>
                <w:sz w:val="24"/>
                <w:szCs w:val="21"/>
              </w:rPr>
              <w:t>当今汽车</w:t>
            </w:r>
            <w:r>
              <w:rPr>
                <w:rFonts w:hint="eastAsia" w:ascii="Times New Roman" w:hAnsi="Times New Roman" w:eastAsiaTheme="majorEastAsia"/>
                <w:sz w:val="24"/>
              </w:rPr>
              <w:t>大量采用微电子技术、车载局域网络技术，使得现代汽车已发展成为集计算机技术、光电传输技术、新工艺和新材料于一体的高科技载体。本专业学生</w:t>
            </w:r>
            <w:r>
              <w:fldChar w:fldCharType="begin"/>
            </w:r>
            <w:r>
              <w:instrText xml:space="preserve"> HYPERLINK "https://www.dxsbb.com/news/list_37.html" \t "_blank" </w:instrText>
            </w:r>
            <w:r>
              <w:fldChar w:fldCharType="separate"/>
            </w:r>
            <w:r>
              <w:rPr>
                <w:rFonts w:hint="eastAsia" w:ascii="Times New Roman" w:hAnsi="Times New Roman" w:eastAsiaTheme="majorEastAsia"/>
                <w:sz w:val="24"/>
              </w:rPr>
              <w:t>毕业</w:t>
            </w:r>
            <w:r>
              <w:rPr>
                <w:rFonts w:hint="eastAsia" w:ascii="Times New Roman" w:hAnsi="Times New Roman" w:eastAsiaTheme="majorEastAsia"/>
                <w:sz w:val="24"/>
              </w:rPr>
              <w:fldChar w:fldCharType="end"/>
            </w:r>
            <w:r>
              <w:rPr>
                <w:rFonts w:hint="eastAsia" w:ascii="Times New Roman" w:hAnsi="Times New Roman" w:eastAsiaTheme="majorEastAsia"/>
                <w:sz w:val="24"/>
              </w:rPr>
              <w:t>后可以在汽车、新能源、互联网等行业工作，可从事与车辆工程有关的研究、设计、制造、检验、检测维修与汽车营销，以及现代汽车管理方面的</w:t>
            </w:r>
            <w:r>
              <w:fldChar w:fldCharType="begin"/>
            </w:r>
            <w:r>
              <w:instrText xml:space="preserve"> HYPERLINK "https://www.dxsbb.com/news/list_37.html" \t "_blank" </w:instrText>
            </w:r>
            <w:r>
              <w:fldChar w:fldCharType="separate"/>
            </w:r>
            <w:r>
              <w:rPr>
                <w:rFonts w:hint="eastAsia" w:ascii="Times New Roman" w:hAnsi="Times New Roman" w:eastAsiaTheme="majorEastAsia"/>
                <w:sz w:val="24"/>
              </w:rPr>
              <w:t>工作</w:t>
            </w:r>
            <w:r>
              <w:rPr>
                <w:rFonts w:hint="eastAsia" w:ascii="Times New Roman" w:hAnsi="Times New Roman" w:eastAsiaTheme="majorEastAsia"/>
                <w:sz w:val="24"/>
              </w:rPr>
              <w:fldChar w:fldCharType="end"/>
            </w:r>
            <w:r>
              <w:rPr>
                <w:rFonts w:hint="eastAsia" w:ascii="Times New Roman" w:hAnsi="Times New Roman" w:eastAsiaTheme="majorEastAsia"/>
                <w:sz w:val="24"/>
              </w:rPr>
              <w:t>。通过对全国生源情况的调研以及一些分部的信息反馈，目前车辆工程专业本科层次的教育有一定市场。除了汽车专科专业毕业的学生，而且可以吸引想读车辆工程本科专业的机电一体化技术及数控技术等相关专科专业毕业的学生，防止生源的流失。</w:t>
            </w:r>
          </w:p>
        </w:tc>
      </w:tr>
    </w:tbl>
    <w:p>
      <w:pPr>
        <w:spacing w:after="156" w:afterLines="50" w:line="580" w:lineRule="exact"/>
        <w:jc w:val="center"/>
        <w:rPr>
          <w:rFonts w:ascii="Times New Roman" w:hAnsi="Times New Roman" w:eastAsia="黑体"/>
          <w:bCs/>
          <w:spacing w:val="20"/>
          <w:sz w:val="44"/>
          <w:szCs w:val="24"/>
        </w:rPr>
      </w:pPr>
      <w:r>
        <w:rPr>
          <w:rFonts w:ascii="Times New Roman" w:hAnsi="Times New Roman"/>
          <w:b/>
          <w:bCs/>
          <w:sz w:val="32"/>
          <w:szCs w:val="24"/>
        </w:rPr>
        <w:br w:type="page"/>
      </w:r>
      <w:r>
        <w:rPr>
          <w:rFonts w:ascii="Times New Roman" w:hAnsi="Times New Roman" w:eastAsia="黑体"/>
          <w:bCs/>
          <w:sz w:val="32"/>
          <w:szCs w:val="24"/>
        </w:rPr>
        <w:t>增设专业人才培养方案</w:t>
      </w:r>
    </w:p>
    <w:tbl>
      <w:tblPr>
        <w:tblStyle w:val="11"/>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20" w:type="dxa"/>
            <w:tcBorders>
              <w:top w:val="single" w:color="auto" w:sz="4" w:space="0"/>
              <w:left w:val="single" w:color="auto" w:sz="4" w:space="0"/>
              <w:bottom w:val="single" w:color="auto" w:sz="4" w:space="0"/>
              <w:right w:val="single" w:color="auto" w:sz="4" w:space="0"/>
            </w:tcBorders>
          </w:tcPr>
          <w:p>
            <w:pPr>
              <w:spacing w:line="360" w:lineRule="auto"/>
              <w:rPr>
                <w:rFonts w:ascii="Times New Roman" w:hAnsi="Times New Roman"/>
                <w:sz w:val="24"/>
                <w:szCs w:val="24"/>
              </w:rPr>
            </w:pPr>
            <w:r>
              <w:rPr>
                <w:rFonts w:ascii="Times New Roman" w:hAnsi="Times New Roman"/>
                <w:sz w:val="24"/>
                <w:szCs w:val="24"/>
              </w:rPr>
              <w:t>包括培养目标、基本要求（素质要求、能力要求、知识结构要求）、修业年限、主干学科、主要课程、主要实践性教学环节和主要专业实验、</w:t>
            </w:r>
            <w:r>
              <w:rPr>
                <w:rFonts w:ascii="Times New Roman" w:hAnsi="Times New Roman"/>
                <w:bCs/>
                <w:sz w:val="24"/>
                <w:szCs w:val="24"/>
              </w:rPr>
              <w:t>教学计划等内容</w:t>
            </w:r>
          </w:p>
          <w:p>
            <w:pPr>
              <w:spacing w:line="360" w:lineRule="auto"/>
              <w:rPr>
                <w:rFonts w:ascii="宋体" w:hAnsi="宋体" w:cs="Courier New"/>
                <w:b/>
                <w:sz w:val="28"/>
                <w:szCs w:val="28"/>
              </w:rPr>
            </w:pPr>
            <w:r>
              <w:rPr>
                <w:rFonts w:ascii="宋体" w:hAnsi="宋体" w:cs="Courier New"/>
                <w:b/>
                <w:sz w:val="28"/>
                <w:szCs w:val="28"/>
              </w:rPr>
              <w:t>一、专业名称、层次、所属学科门类</w:t>
            </w:r>
          </w:p>
          <w:p>
            <w:pPr>
              <w:pStyle w:val="4"/>
              <w:adjustRightInd w:val="0"/>
              <w:snapToGrid w:val="0"/>
              <w:spacing w:line="360" w:lineRule="auto"/>
              <w:ind w:firstLine="424" w:firstLineChars="177"/>
              <w:rPr>
                <w:rFonts w:hAnsi="宋体"/>
                <w:sz w:val="24"/>
                <w:szCs w:val="24"/>
              </w:rPr>
            </w:pPr>
            <w:r>
              <w:rPr>
                <w:rFonts w:hAnsi="宋体"/>
                <w:sz w:val="24"/>
                <w:szCs w:val="24"/>
              </w:rPr>
              <w:t>专业名称：</w:t>
            </w:r>
            <w:r>
              <w:rPr>
                <w:rFonts w:hint="eastAsia" w:hAnsi="宋体"/>
                <w:sz w:val="24"/>
                <w:szCs w:val="24"/>
              </w:rPr>
              <w:t>车辆工程。</w:t>
            </w:r>
          </w:p>
          <w:p>
            <w:pPr>
              <w:pStyle w:val="4"/>
              <w:adjustRightInd w:val="0"/>
              <w:snapToGrid w:val="0"/>
              <w:spacing w:line="360" w:lineRule="auto"/>
              <w:ind w:firstLine="424" w:firstLineChars="177"/>
              <w:rPr>
                <w:rFonts w:hAnsi="宋体"/>
                <w:sz w:val="24"/>
                <w:szCs w:val="24"/>
              </w:rPr>
            </w:pPr>
            <w:r>
              <w:rPr>
                <w:rFonts w:hAnsi="宋体"/>
                <w:sz w:val="24"/>
                <w:szCs w:val="24"/>
              </w:rPr>
              <w:t>专业层次：</w:t>
            </w:r>
            <w:r>
              <w:rPr>
                <w:rFonts w:hint="eastAsia" w:hAnsi="宋体"/>
                <w:sz w:val="24"/>
                <w:szCs w:val="24"/>
              </w:rPr>
              <w:t>本科（专科起点）。</w:t>
            </w:r>
          </w:p>
          <w:p>
            <w:pPr>
              <w:pStyle w:val="4"/>
              <w:adjustRightInd w:val="0"/>
              <w:snapToGrid w:val="0"/>
              <w:spacing w:line="360" w:lineRule="auto"/>
              <w:ind w:firstLine="424" w:firstLineChars="177"/>
              <w:rPr>
                <w:rFonts w:hAnsi="宋体"/>
                <w:sz w:val="24"/>
                <w:szCs w:val="24"/>
              </w:rPr>
            </w:pPr>
            <w:bookmarkStart w:id="5" w:name="OLE_LINK1"/>
            <w:bookmarkStart w:id="6" w:name="OLE_LINK2"/>
            <w:r>
              <w:rPr>
                <w:rFonts w:hAnsi="宋体"/>
                <w:sz w:val="24"/>
                <w:szCs w:val="24"/>
              </w:rPr>
              <w:t>专业所属学科门类或专业大类</w:t>
            </w:r>
            <w:bookmarkEnd w:id="5"/>
            <w:bookmarkEnd w:id="6"/>
            <w:r>
              <w:rPr>
                <w:rFonts w:hAnsi="宋体"/>
                <w:sz w:val="24"/>
                <w:szCs w:val="24"/>
              </w:rPr>
              <w:t>：</w:t>
            </w:r>
            <w:r>
              <w:rPr>
                <w:rFonts w:hint="eastAsia" w:hAnsi="宋体"/>
                <w:sz w:val="24"/>
                <w:szCs w:val="24"/>
              </w:rPr>
              <w:t>工学 机械工程大类。</w:t>
            </w:r>
          </w:p>
          <w:p>
            <w:pPr>
              <w:pStyle w:val="4"/>
              <w:spacing w:line="360" w:lineRule="auto"/>
              <w:rPr>
                <w:rFonts w:hAnsi="宋体"/>
                <w:b/>
                <w:sz w:val="28"/>
                <w:szCs w:val="28"/>
              </w:rPr>
            </w:pPr>
            <w:r>
              <w:rPr>
                <w:rFonts w:hint="eastAsia" w:hAnsi="宋体"/>
                <w:b/>
                <w:sz w:val="28"/>
                <w:szCs w:val="28"/>
              </w:rPr>
              <w:t>二、入学要求</w:t>
            </w:r>
          </w:p>
          <w:p>
            <w:pPr>
              <w:pStyle w:val="4"/>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具有国民教育系列相同或相近专业高等专科（含专科）以上学历者。</w:t>
            </w:r>
          </w:p>
          <w:p>
            <w:pPr>
              <w:spacing w:line="360" w:lineRule="auto"/>
              <w:rPr>
                <w:rFonts w:ascii="Times New Roman" w:hAnsi="Times New Roman"/>
                <w:b/>
                <w:sz w:val="28"/>
                <w:szCs w:val="28"/>
              </w:rPr>
            </w:pPr>
            <w:r>
              <w:rPr>
                <w:rFonts w:hint="eastAsia" w:ascii="Times New Roman" w:hAnsi="Times New Roman"/>
                <w:b/>
                <w:sz w:val="28"/>
                <w:szCs w:val="28"/>
              </w:rPr>
              <w:t>三</w:t>
            </w:r>
            <w:r>
              <w:rPr>
                <w:rFonts w:ascii="Times New Roman" w:hAnsi="Times New Roman"/>
                <w:b/>
                <w:sz w:val="28"/>
                <w:szCs w:val="28"/>
              </w:rPr>
              <w:t>、培养目标</w:t>
            </w:r>
          </w:p>
          <w:p>
            <w:pPr>
              <w:autoSpaceDE w:val="0"/>
              <w:autoSpaceDN w:val="0"/>
              <w:adjustRightInd w:val="0"/>
              <w:spacing w:line="360" w:lineRule="auto"/>
              <w:ind w:firstLine="480" w:firstLineChars="200"/>
              <w:jc w:val="left"/>
              <w:rPr>
                <w:rFonts w:ascii="Times New Roman" w:hAnsi="Times New Roman"/>
                <w:color w:val="FF0000"/>
                <w:sz w:val="24"/>
                <w:szCs w:val="24"/>
              </w:rPr>
            </w:pPr>
            <w:r>
              <w:rPr>
                <w:rFonts w:ascii="Times New Roman" w:hAnsi="Times New Roman"/>
                <w:sz w:val="24"/>
                <w:szCs w:val="24"/>
              </w:rPr>
              <w:t>本专业</w:t>
            </w:r>
            <w:r>
              <w:rPr>
                <w:rFonts w:hint="eastAsia" w:hAnsi="宋体"/>
                <w:sz w:val="24"/>
                <w:szCs w:val="24"/>
              </w:rPr>
              <w:t>坚持立德树人的教育思想，</w:t>
            </w:r>
            <w:r>
              <w:rPr>
                <w:rFonts w:ascii="Times New Roman" w:hAnsi="Times New Roman"/>
                <w:sz w:val="24"/>
                <w:szCs w:val="24"/>
              </w:rPr>
              <w:t>培养社会主义建设需要的</w:t>
            </w:r>
            <w:r>
              <w:rPr>
                <w:rFonts w:hint="eastAsia" w:ascii="Times New Roman" w:hAnsi="Times New Roman"/>
                <w:sz w:val="24"/>
                <w:szCs w:val="24"/>
              </w:rPr>
              <w:t>、</w:t>
            </w:r>
            <w:r>
              <w:rPr>
                <w:rFonts w:ascii="Times New Roman" w:hAnsi="Times New Roman"/>
                <w:sz w:val="24"/>
                <w:szCs w:val="24"/>
              </w:rPr>
              <w:t>德智体</w:t>
            </w:r>
            <w:r>
              <w:rPr>
                <w:rFonts w:ascii="Times New Roman" w:hAnsi="Times New Roman"/>
                <w:sz w:val="24"/>
              </w:rPr>
              <w:t>美劳</w:t>
            </w:r>
            <w:r>
              <w:rPr>
                <w:rFonts w:ascii="Times New Roman" w:hAnsi="Times New Roman"/>
                <w:sz w:val="24"/>
                <w:szCs w:val="24"/>
              </w:rPr>
              <w:t>全面发展，系统掌握车辆工程领域所必须的基础理论、专业知识并具有较强的工程实践能力与创新意识，掌握汽车总体、主要零部件等方面</w:t>
            </w:r>
            <w:r>
              <w:rPr>
                <w:rFonts w:hint="eastAsia" w:ascii="Times New Roman" w:hAnsi="Times New Roman"/>
                <w:sz w:val="24"/>
                <w:szCs w:val="24"/>
              </w:rPr>
              <w:t>的</w:t>
            </w:r>
            <w:r>
              <w:rPr>
                <w:rFonts w:ascii="Times New Roman" w:hAnsi="Times New Roman"/>
                <w:sz w:val="24"/>
              </w:rPr>
              <w:t>现代汽车技术</w:t>
            </w:r>
            <w:r>
              <w:rPr>
                <w:rFonts w:ascii="Times New Roman" w:hAnsi="Times New Roman"/>
                <w:sz w:val="24"/>
                <w:szCs w:val="24"/>
              </w:rPr>
              <w:t>，了解并重视与汽车技术发展有关人文社会知识，</w:t>
            </w:r>
            <w:r>
              <w:rPr>
                <w:rFonts w:hint="eastAsia" w:ascii="Times New Roman" w:hAnsi="Times New Roman"/>
                <w:sz w:val="24"/>
                <w:szCs w:val="24"/>
              </w:rPr>
              <w:t>能够从事车辆工程领域的设计制造、检测、诊断、维修、运营管理</w:t>
            </w:r>
            <w:r>
              <w:rPr>
                <w:rFonts w:ascii="Times New Roman" w:hAnsi="Times New Roman"/>
                <w:sz w:val="24"/>
                <w:szCs w:val="24"/>
              </w:rPr>
              <w:t>工作的</w:t>
            </w:r>
            <w:r>
              <w:rPr>
                <w:rFonts w:ascii="Times New Roman" w:hAnsi="Times New Roman"/>
                <w:color w:val="000000" w:themeColor="text1"/>
                <w:sz w:val="24"/>
                <w14:textFill>
                  <w14:solidFill>
                    <w14:schemeClr w14:val="tx1"/>
                  </w14:solidFill>
                </w14:textFill>
              </w:rPr>
              <w:t>应用</w:t>
            </w:r>
            <w:r>
              <w:rPr>
                <w:rFonts w:hint="eastAsia" w:ascii="Times New Roman" w:hAnsi="Times New Roman"/>
                <w:color w:val="000000" w:themeColor="text1"/>
                <w:sz w:val="24"/>
                <w14:textFill>
                  <w14:solidFill>
                    <w14:schemeClr w14:val="tx1"/>
                  </w14:solidFill>
                </w14:textFill>
              </w:rPr>
              <w:t>型</w:t>
            </w:r>
            <w:r>
              <w:rPr>
                <w:rFonts w:ascii="Times New Roman" w:hAnsi="Times New Roman"/>
                <w:color w:val="000000" w:themeColor="text1"/>
                <w:sz w:val="24"/>
                <w14:textFill>
                  <w14:solidFill>
                    <w14:schemeClr w14:val="tx1"/>
                  </w14:solidFill>
                </w14:textFill>
              </w:rPr>
              <w:t>人才</w:t>
            </w:r>
            <w:r>
              <w:rPr>
                <w:rFonts w:ascii="Times New Roman" w:hAnsi="Times New Roman"/>
                <w:color w:val="000000" w:themeColor="text1"/>
                <w:sz w:val="24"/>
                <w:szCs w:val="24"/>
                <w14:textFill>
                  <w14:solidFill>
                    <w14:schemeClr w14:val="tx1"/>
                  </w14:solidFill>
                </w14:textFill>
              </w:rPr>
              <w:t>。</w:t>
            </w:r>
          </w:p>
          <w:p>
            <w:pPr>
              <w:spacing w:line="360" w:lineRule="auto"/>
              <w:rPr>
                <w:rFonts w:ascii="Times New Roman" w:hAnsi="Times New Roman"/>
                <w:b/>
                <w:sz w:val="28"/>
                <w:szCs w:val="28"/>
              </w:rPr>
            </w:pPr>
            <w:r>
              <w:rPr>
                <w:rFonts w:hint="eastAsia" w:ascii="Times New Roman" w:hAnsi="Times New Roman"/>
                <w:b/>
                <w:sz w:val="28"/>
                <w:szCs w:val="28"/>
              </w:rPr>
              <w:t>四</w:t>
            </w:r>
            <w:r>
              <w:rPr>
                <w:rFonts w:ascii="Times New Roman" w:hAnsi="Times New Roman"/>
                <w:b/>
                <w:sz w:val="28"/>
                <w:szCs w:val="28"/>
              </w:rPr>
              <w:t>、培养规格</w:t>
            </w:r>
          </w:p>
          <w:p>
            <w:pPr>
              <w:pStyle w:val="4"/>
              <w:adjustRightInd w:val="0"/>
              <w:snapToGrid w:val="0"/>
              <w:spacing w:line="360" w:lineRule="auto"/>
              <w:ind w:firstLine="424" w:firstLineChars="177"/>
              <w:rPr>
                <w:rFonts w:ascii="Times New Roman" w:hAnsi="Times New Roman" w:cs="Times New Roman"/>
                <w:sz w:val="24"/>
                <w:szCs w:val="24"/>
              </w:rPr>
            </w:pPr>
            <w:r>
              <w:rPr>
                <w:rFonts w:hint="eastAsia" w:ascii="Times New Roman" w:hAnsi="Times New Roman" w:cs="Times New Roman"/>
                <w:sz w:val="24"/>
                <w:szCs w:val="24"/>
              </w:rPr>
              <w:t>（一）</w:t>
            </w:r>
            <w:r>
              <w:rPr>
                <w:rFonts w:ascii="Times New Roman" w:hAnsi="Times New Roman" w:cs="Times New Roman"/>
                <w:sz w:val="24"/>
                <w:szCs w:val="24"/>
              </w:rPr>
              <w:t>修业年限：</w:t>
            </w:r>
            <w:r>
              <w:rPr>
                <w:rFonts w:hint="eastAsia" w:ascii="Times New Roman" w:hAnsi="Times New Roman" w:cs="Times New Roman"/>
                <w:sz w:val="24"/>
                <w:szCs w:val="24"/>
              </w:rPr>
              <w:t>修业年限2.5年，学籍保留</w:t>
            </w:r>
            <w:r>
              <w:rPr>
                <w:rFonts w:ascii="Times New Roman" w:hAnsi="Times New Roman" w:cs="Times New Roman"/>
                <w:sz w:val="24"/>
                <w:szCs w:val="24"/>
              </w:rPr>
              <w:t>8年</w:t>
            </w:r>
          </w:p>
          <w:p>
            <w:pPr>
              <w:pStyle w:val="4"/>
              <w:adjustRightInd w:val="0"/>
              <w:snapToGrid w:val="0"/>
              <w:spacing w:line="360" w:lineRule="auto"/>
              <w:ind w:firstLine="424" w:firstLineChars="177"/>
              <w:rPr>
                <w:rFonts w:ascii="Times New Roman" w:hAnsi="Times New Roman" w:cs="Times New Roman"/>
                <w:sz w:val="24"/>
                <w:szCs w:val="24"/>
              </w:rPr>
            </w:pPr>
            <w:r>
              <w:rPr>
                <w:rFonts w:hint="eastAsia" w:ascii="Times New Roman" w:hAnsi="Times New Roman" w:cs="Times New Roman"/>
                <w:sz w:val="24"/>
                <w:szCs w:val="24"/>
              </w:rPr>
              <w:t>（二）</w:t>
            </w:r>
            <w:r>
              <w:rPr>
                <w:rFonts w:ascii="Times New Roman" w:hAnsi="Times New Roman" w:cs="Times New Roman"/>
                <w:sz w:val="24"/>
                <w:szCs w:val="24"/>
              </w:rPr>
              <w:t>学习形式：开放教育</w:t>
            </w:r>
          </w:p>
          <w:p>
            <w:pPr>
              <w:pStyle w:val="4"/>
              <w:adjustRightInd w:val="0"/>
              <w:snapToGrid w:val="0"/>
              <w:spacing w:line="360" w:lineRule="auto"/>
              <w:ind w:firstLine="424" w:firstLineChars="177"/>
              <w:rPr>
                <w:rFonts w:ascii="Times New Roman" w:hAnsi="Times New Roman" w:cs="Times New Roman"/>
                <w:sz w:val="24"/>
                <w:szCs w:val="24"/>
              </w:rPr>
            </w:pPr>
            <w:r>
              <w:rPr>
                <w:rFonts w:hint="eastAsia" w:ascii="Times New Roman" w:hAnsi="Times New Roman" w:cs="Times New Roman"/>
                <w:sz w:val="24"/>
                <w:szCs w:val="24"/>
              </w:rPr>
              <w:t>（三）</w:t>
            </w:r>
            <w:r>
              <w:rPr>
                <w:rFonts w:ascii="Times New Roman" w:hAnsi="Times New Roman" w:cs="Times New Roman"/>
                <w:sz w:val="24"/>
                <w:szCs w:val="24"/>
              </w:rPr>
              <w:t>总学时学分：1296学时，72学分</w:t>
            </w:r>
          </w:p>
          <w:p>
            <w:pPr>
              <w:pStyle w:val="4"/>
              <w:adjustRightInd w:val="0"/>
              <w:snapToGrid w:val="0"/>
              <w:spacing w:line="360" w:lineRule="auto"/>
              <w:ind w:firstLine="424" w:firstLineChars="177"/>
              <w:rPr>
                <w:rFonts w:ascii="Times New Roman" w:hAnsi="Times New Roman" w:cs="Times New Roman"/>
                <w:sz w:val="24"/>
                <w:szCs w:val="24"/>
              </w:rPr>
            </w:pPr>
            <w:r>
              <w:rPr>
                <w:rFonts w:hint="eastAsia" w:ascii="Times New Roman" w:hAnsi="Times New Roman" w:cs="Times New Roman"/>
                <w:sz w:val="24"/>
                <w:szCs w:val="24"/>
              </w:rPr>
              <w:t>（四）</w:t>
            </w:r>
            <w:r>
              <w:rPr>
                <w:rFonts w:ascii="Times New Roman" w:hAnsi="Times New Roman" w:cs="Times New Roman"/>
                <w:sz w:val="24"/>
                <w:szCs w:val="24"/>
              </w:rPr>
              <w:t>人才培养知识、能力和素质要求</w:t>
            </w:r>
          </w:p>
          <w:p>
            <w:pPr>
              <w:pStyle w:val="4"/>
              <w:adjustRightInd w:val="0"/>
              <w:snapToGrid w:val="0"/>
              <w:spacing w:line="360" w:lineRule="auto"/>
              <w:ind w:firstLine="424" w:firstLineChars="177"/>
              <w:rPr>
                <w:rFonts w:ascii="Times New Roman" w:hAnsi="Times New Roman" w:cs="Times New Roman"/>
                <w:sz w:val="24"/>
                <w:szCs w:val="24"/>
              </w:rPr>
            </w:pPr>
            <w:r>
              <w:rPr>
                <w:rFonts w:hint="eastAsia" w:ascii="Times New Roman" w:hAnsi="Times New Roman" w:cs="Times New Roman"/>
                <w:sz w:val="24"/>
                <w:szCs w:val="24"/>
              </w:rPr>
              <w:t>1. 知识要求</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（1）具有车辆工程领域必要的基础</w:t>
            </w:r>
            <w:r>
              <w:rPr>
                <w:rFonts w:hint="eastAsia" w:ascii="Times New Roman" w:hAnsi="Times New Roman" w:cs="Times New Roman"/>
                <w:sz w:val="24"/>
                <w:szCs w:val="24"/>
              </w:rPr>
              <w:t>理论和</w:t>
            </w:r>
            <w:r>
              <w:rPr>
                <w:rFonts w:ascii="Times New Roman" w:hAnsi="Times New Roman" w:cs="Times New Roman"/>
                <w:sz w:val="24"/>
                <w:szCs w:val="24"/>
              </w:rPr>
              <w:t>专业知识，了解其学</w:t>
            </w:r>
            <w:r>
              <w:rPr>
                <w:rFonts w:hint="eastAsia" w:ascii="Times New Roman" w:hAnsi="Times New Roman" w:cs="Times New Roman"/>
                <w:sz w:val="24"/>
                <w:szCs w:val="24"/>
              </w:rPr>
              <w:t>科</w:t>
            </w:r>
            <w:r>
              <w:rPr>
                <w:rFonts w:ascii="Times New Roman" w:hAnsi="Times New Roman" w:cs="Times New Roman"/>
                <w:sz w:val="24"/>
                <w:szCs w:val="24"/>
              </w:rPr>
              <w:t>前沿及发展趋势；</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（2）具有本专业必需的制图、计算、试验、测试、计算机应用、文献检索和基本工艺操作等基本技能； </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（3）能综合运用所学知识分析和解决在汽车</w:t>
            </w:r>
            <w:r>
              <w:rPr>
                <w:rFonts w:hint="eastAsia" w:ascii="Times New Roman" w:hAnsi="Times New Roman"/>
                <w:sz w:val="24"/>
                <w:szCs w:val="24"/>
              </w:rPr>
              <w:t>设计制造、检测、诊断、维修、运营管理</w:t>
            </w:r>
            <w:r>
              <w:rPr>
                <w:rFonts w:ascii="Times New Roman" w:hAnsi="Times New Roman" w:cs="Times New Roman"/>
                <w:sz w:val="24"/>
                <w:szCs w:val="24"/>
              </w:rPr>
              <w:t>过程中遇到的各类问题；</w:t>
            </w:r>
          </w:p>
          <w:p>
            <w:pPr>
              <w:pStyle w:val="4"/>
              <w:adjustRightInd w:val="0"/>
              <w:snapToGrid w:val="0"/>
              <w:spacing w:line="360" w:lineRule="auto"/>
              <w:ind w:left="479" w:leftChars="228"/>
              <w:rPr>
                <w:rFonts w:ascii="Times New Roman" w:hAnsi="Times New Roman" w:cs="Times New Roman"/>
                <w:sz w:val="24"/>
                <w:szCs w:val="24"/>
              </w:rPr>
            </w:pPr>
            <w:r>
              <w:rPr>
                <w:rFonts w:ascii="Times New Roman" w:hAnsi="Times New Roman" w:cs="Times New Roman"/>
                <w:sz w:val="24"/>
                <w:szCs w:val="24"/>
              </w:rPr>
              <w:t>（4）</w:t>
            </w:r>
            <w:r>
              <w:rPr>
                <w:rFonts w:hint="eastAsia" w:ascii="Times New Roman" w:hAnsi="Times New Roman" w:cs="Times New Roman"/>
                <w:sz w:val="24"/>
                <w:szCs w:val="24"/>
              </w:rPr>
              <w:t>了解电动车、智能车等汽车新结构、新原理方面的基本知识；</w:t>
            </w:r>
          </w:p>
          <w:p>
            <w:pPr>
              <w:pStyle w:val="4"/>
              <w:adjustRightInd w:val="0"/>
              <w:snapToGrid w:val="0"/>
              <w:spacing w:line="360" w:lineRule="auto"/>
              <w:ind w:left="479" w:leftChars="228"/>
              <w:rPr>
                <w:rFonts w:ascii="Times New Roman" w:hAnsi="Times New Roman" w:cs="Times New Roman"/>
                <w:sz w:val="24"/>
                <w:szCs w:val="24"/>
              </w:rPr>
            </w:pPr>
            <w:r>
              <w:rPr>
                <w:rFonts w:ascii="Times New Roman" w:hAnsi="Times New Roman" w:cs="Times New Roman"/>
                <w:sz w:val="24"/>
                <w:szCs w:val="24"/>
              </w:rPr>
              <w:t>（5）具有初步的科学研究、科技开发及组织管理能力；</w:t>
            </w:r>
          </w:p>
          <w:p>
            <w:pPr>
              <w:pStyle w:val="4"/>
              <w:adjustRightInd w:val="0"/>
              <w:snapToGrid w:val="0"/>
              <w:spacing w:line="360" w:lineRule="auto"/>
              <w:ind w:left="479" w:leftChars="228"/>
              <w:rPr>
                <w:rFonts w:ascii="Times New Roman" w:hAnsi="Times New Roman" w:cs="Times New Roman"/>
                <w:sz w:val="24"/>
                <w:szCs w:val="24"/>
              </w:rPr>
            </w:pPr>
            <w:r>
              <w:rPr>
                <w:rFonts w:ascii="Times New Roman" w:hAnsi="Times New Roman" w:cs="Times New Roman"/>
                <w:sz w:val="24"/>
                <w:szCs w:val="24"/>
              </w:rPr>
              <w:t>（6）了解一定的人文、艺术和社会科学知识；掌握相关的法律和技术法规知</w:t>
            </w:r>
          </w:p>
          <w:p>
            <w:pPr>
              <w:pStyle w:val="4"/>
              <w:adjustRightInd w:val="0"/>
              <w:snapToGrid w:val="0"/>
              <w:spacing w:line="360" w:lineRule="auto"/>
              <w:rPr>
                <w:rFonts w:ascii="Times New Roman" w:hAnsi="Times New Roman" w:cs="Times New Roman"/>
                <w:sz w:val="24"/>
                <w:szCs w:val="24"/>
              </w:rPr>
            </w:pPr>
            <w:r>
              <w:rPr>
                <w:rFonts w:ascii="Times New Roman" w:hAnsi="Times New Roman" w:cs="Times New Roman"/>
                <w:sz w:val="24"/>
                <w:szCs w:val="24"/>
              </w:rPr>
              <w:t>识。</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．能力要求</w:t>
            </w:r>
          </w:p>
          <w:p>
            <w:pPr>
              <w:pStyle w:val="4"/>
              <w:adjustRightIn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（1）能够对常见的典型汽车零部件进行拆装，学会使用常用及专用工具； </w:t>
            </w:r>
          </w:p>
          <w:p>
            <w:pPr>
              <w:pStyle w:val="4"/>
              <w:adjustRightIn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（2）掌握汽车主要性能的测试方法，有关技术标准和规范；</w:t>
            </w:r>
            <w:r>
              <w:rPr>
                <w:rFonts w:ascii="Times New Roman" w:hAnsi="Times New Roman" w:cs="Times New Roman"/>
                <w:sz w:val="24"/>
                <w:szCs w:val="24"/>
              </w:rPr>
              <w:t xml:space="preserve"> </w:t>
            </w:r>
          </w:p>
          <w:p>
            <w:pPr>
              <w:pStyle w:val="4"/>
              <w:adjustRightIn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（3）对车辆工程技术的发展规律有正确的认识，具有与时俱进、求知不止的自主学习、终身学习与适应发展的能力；</w:t>
            </w:r>
          </w:p>
          <w:p>
            <w:pPr>
              <w:pStyle w:val="4"/>
              <w:adjustRightIn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（4）对于车辆行业和技术发展水平、面临的挑战有正确认识；</w:t>
            </w:r>
          </w:p>
          <w:p>
            <w:pPr>
              <w:pStyle w:val="4"/>
              <w:adjustRightIn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（5）了解车辆行业相关的国际技术标准规范；</w:t>
            </w:r>
          </w:p>
          <w:p>
            <w:pPr>
              <w:pStyle w:val="4"/>
              <w:adjustRightIn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（6）能完成较复杂的技术工作、参与技术革新活动。</w:t>
            </w:r>
            <w:r>
              <w:rPr>
                <w:rFonts w:ascii="Times New Roman" w:hAnsi="Times New Roman" w:cs="Times New Roman"/>
                <w:sz w:val="24"/>
                <w:szCs w:val="24"/>
              </w:rPr>
              <w:t xml:space="preserve"> </w:t>
            </w:r>
          </w:p>
          <w:p>
            <w:pPr>
              <w:pStyle w:val="4"/>
              <w:adjustRightIn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 素质要求</w:t>
            </w:r>
          </w:p>
          <w:p>
            <w:pPr>
              <w:pStyle w:val="4"/>
              <w:adjustRightInd w:val="0"/>
              <w:spacing w:line="360" w:lineRule="auto"/>
              <w:ind w:firstLine="480" w:firstLineChars="200"/>
              <w:rPr>
                <w:rFonts w:ascii="Times New Roman" w:hAnsi="Times New Roman" w:cs="Times New Roman"/>
                <w:color w:val="FF0000"/>
                <w:sz w:val="24"/>
                <w:szCs w:val="24"/>
              </w:rPr>
            </w:pPr>
            <w:r>
              <w:rPr>
                <w:rFonts w:hint="eastAsia" w:ascii="Times New Roman" w:hAnsi="Times New Roman" w:cs="Times New Roman"/>
                <w:sz w:val="24"/>
                <w:szCs w:val="24"/>
              </w:rPr>
              <w:t>（1）</w:t>
            </w:r>
            <w:r>
              <w:rPr>
                <w:rFonts w:ascii="Times New Roman" w:hAnsi="Times New Roman" w:cs="Times New Roman"/>
                <w:sz w:val="24"/>
                <w:szCs w:val="24"/>
              </w:rPr>
              <w:t>具有一定的审美和人文素养；</w:t>
            </w:r>
          </w:p>
          <w:p>
            <w:pPr>
              <w:spacing w:line="360" w:lineRule="auto"/>
              <w:ind w:right="210" w:rightChars="100" w:firstLine="480" w:firstLineChars="200"/>
              <w:rPr>
                <w:rFonts w:ascii="Times New Roman" w:hAnsi="Times New Roman"/>
                <w:sz w:val="24"/>
                <w:szCs w:val="24"/>
              </w:rPr>
            </w:pPr>
            <w:r>
              <w:rPr>
                <w:rFonts w:ascii="Times New Roman" w:hAnsi="Times New Roman"/>
                <w:sz w:val="24"/>
                <w:szCs w:val="24"/>
              </w:rPr>
              <w:t>（2）勇于奋斗、乐观向上，具有自我管理能力、职业生涯规划的意识；</w:t>
            </w:r>
          </w:p>
          <w:p>
            <w:pPr>
              <w:pStyle w:val="4"/>
              <w:adjustRightInd w:val="0"/>
              <w:spacing w:line="360" w:lineRule="auto"/>
              <w:ind w:left="479" w:leftChars="228"/>
              <w:rPr>
                <w:rFonts w:ascii="Times New Roman" w:hAnsi="Times New Roman" w:cs="Times New Roman"/>
                <w:sz w:val="24"/>
                <w:szCs w:val="24"/>
              </w:rPr>
            </w:pPr>
            <w:r>
              <w:rPr>
                <w:rFonts w:ascii="Times New Roman" w:hAnsi="Times New Roman" w:cs="Times New Roman"/>
                <w:sz w:val="24"/>
                <w:szCs w:val="24"/>
              </w:rPr>
              <w:t>（3）具有良好的协作意识与团队精神；</w:t>
            </w:r>
          </w:p>
          <w:p>
            <w:pPr>
              <w:pStyle w:val="4"/>
              <w:adjustRightInd w:val="0"/>
              <w:spacing w:line="360" w:lineRule="auto"/>
              <w:ind w:left="479" w:leftChars="228"/>
              <w:rPr>
                <w:rFonts w:ascii="Times New Roman" w:hAnsi="Times New Roman" w:cs="Times New Roman"/>
                <w:sz w:val="24"/>
                <w:szCs w:val="24"/>
              </w:rPr>
            </w:pPr>
            <w:r>
              <w:rPr>
                <w:rFonts w:hint="eastAsia" w:ascii="Times New Roman" w:hAnsi="Times New Roman" w:cs="Times New Roman"/>
                <w:sz w:val="24"/>
                <w:szCs w:val="24"/>
              </w:rPr>
              <w:t>（4）具备良好的人际沟通与协调能力；</w:t>
            </w:r>
          </w:p>
          <w:p>
            <w:pPr>
              <w:pStyle w:val="4"/>
              <w:adjustRightInd w:val="0"/>
              <w:spacing w:line="360" w:lineRule="auto"/>
              <w:ind w:left="479" w:leftChars="228"/>
              <w:rPr>
                <w:rFonts w:ascii="Times New Roman" w:hAnsi="Times New Roman" w:cs="Times New Roman"/>
                <w:sz w:val="24"/>
                <w:szCs w:val="24"/>
              </w:rPr>
            </w:pPr>
            <w:r>
              <w:rPr>
                <w:rFonts w:ascii="Times New Roman" w:hAnsi="Times New Roman" w:cs="Times New Roman"/>
                <w:sz w:val="24"/>
                <w:szCs w:val="24"/>
              </w:rPr>
              <w:t>（5）具有良好的创新精神；</w:t>
            </w:r>
          </w:p>
          <w:p>
            <w:pPr>
              <w:pStyle w:val="4"/>
              <w:adjustRightInd w:val="0"/>
              <w:spacing w:line="360" w:lineRule="auto"/>
              <w:ind w:left="479" w:leftChars="228"/>
              <w:rPr>
                <w:rFonts w:hAnsi="宋体"/>
                <w:sz w:val="24"/>
              </w:rPr>
            </w:pPr>
            <w:r>
              <w:rPr>
                <w:rFonts w:ascii="Times New Roman" w:hAnsi="Times New Roman" w:cs="Times New Roman"/>
                <w:sz w:val="24"/>
                <w:szCs w:val="24"/>
              </w:rPr>
              <w:t>（6）具有科学</w:t>
            </w:r>
            <w:r>
              <w:rPr>
                <w:rFonts w:hint="eastAsia" w:ascii="Times New Roman" w:hAnsi="Times New Roman" w:cs="Times New Roman"/>
                <w:sz w:val="24"/>
                <w:szCs w:val="24"/>
              </w:rPr>
              <w:t>的工程意</w:t>
            </w:r>
            <w:r>
              <w:rPr>
                <w:rFonts w:hint="eastAsia" w:hAnsi="宋体"/>
                <w:sz w:val="24"/>
              </w:rPr>
              <w:t>识。</w:t>
            </w:r>
          </w:p>
          <w:p>
            <w:pPr>
              <w:spacing w:line="360" w:lineRule="auto"/>
              <w:rPr>
                <w:rFonts w:ascii="Times New Roman" w:hAnsi="Times New Roman"/>
                <w:b/>
                <w:sz w:val="28"/>
                <w:szCs w:val="28"/>
              </w:rPr>
            </w:pPr>
            <w:r>
              <w:rPr>
                <w:rFonts w:hint="eastAsia" w:ascii="Times New Roman" w:hAnsi="Times New Roman"/>
                <w:b/>
                <w:sz w:val="28"/>
                <w:szCs w:val="28"/>
              </w:rPr>
              <w:t>五</w:t>
            </w:r>
            <w:r>
              <w:rPr>
                <w:rFonts w:ascii="Times New Roman" w:hAnsi="Times New Roman"/>
                <w:b/>
                <w:sz w:val="28"/>
                <w:szCs w:val="28"/>
              </w:rPr>
              <w:t>、课程体系说明</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一）</w:t>
            </w:r>
            <w:r>
              <w:rPr>
                <w:rFonts w:ascii="Times New Roman" w:hAnsi="Times New Roman" w:cs="Times New Roman"/>
                <w:sz w:val="24"/>
                <w:szCs w:val="24"/>
              </w:rPr>
              <w:t>课程模块设置</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本专业共设置</w:t>
            </w:r>
            <w:r>
              <w:rPr>
                <w:rFonts w:hint="eastAsia" w:ascii="Times New Roman" w:hAnsi="Times New Roman" w:cs="Times New Roman"/>
                <w:sz w:val="24"/>
                <w:szCs w:val="24"/>
              </w:rPr>
              <w:t>9</w:t>
            </w:r>
            <w:r>
              <w:rPr>
                <w:rFonts w:ascii="Times New Roman" w:hAnsi="Times New Roman" w:cs="Times New Roman"/>
                <w:sz w:val="24"/>
                <w:szCs w:val="24"/>
              </w:rPr>
              <w:t>个模块，分别是思想政治课、公共基础课、公共英语课</w:t>
            </w:r>
            <w:r>
              <w:rPr>
                <w:rFonts w:hint="eastAsia" w:ascii="Times New Roman" w:hAnsi="Times New Roman" w:cs="Times New Roman"/>
                <w:sz w:val="24"/>
                <w:szCs w:val="24"/>
              </w:rPr>
              <w:t>、</w:t>
            </w:r>
            <w:r>
              <w:rPr>
                <w:rFonts w:ascii="Times New Roman" w:hAnsi="Times New Roman" w:cs="Times New Roman"/>
                <w:sz w:val="24"/>
                <w:szCs w:val="24"/>
              </w:rPr>
              <w:t>专业基础课、专业课、专业拓展课、通识课、综合实践、补修课。</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二）</w:t>
            </w:r>
            <w:r>
              <w:rPr>
                <w:rFonts w:ascii="Times New Roman" w:hAnsi="Times New Roman" w:cs="Times New Roman"/>
                <w:sz w:val="24"/>
                <w:szCs w:val="24"/>
              </w:rPr>
              <w:t>课程设置</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w:t>
            </w:r>
            <w:r>
              <w:rPr>
                <w:rFonts w:ascii="Times New Roman" w:hAnsi="Times New Roman" w:cs="Times New Roman"/>
                <w:sz w:val="24"/>
                <w:szCs w:val="24"/>
              </w:rPr>
              <w:t>思想政治课</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该模块最低总部考试学分为8学分，模块最低设置学分为10学分。</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统设必修课：习近平新时代中国特色社会主义思想、中国近现代史纲要、马克思主义基本原理概论</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统设选修课：民族理论与民族政策</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公共基础课</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该模块最低总部考试学分为</w:t>
            </w:r>
            <w:r>
              <w:rPr>
                <w:rFonts w:hint="eastAsia" w:ascii="Times New Roman" w:hAnsi="Times New Roman" w:cs="Times New Roman"/>
                <w:sz w:val="24"/>
                <w:szCs w:val="24"/>
              </w:rPr>
              <w:t>5</w:t>
            </w:r>
            <w:r>
              <w:rPr>
                <w:rFonts w:ascii="Times New Roman" w:hAnsi="Times New Roman" w:cs="Times New Roman"/>
                <w:sz w:val="24"/>
                <w:szCs w:val="24"/>
              </w:rPr>
              <w:t>学分，模块最低设置学分为</w:t>
            </w:r>
            <w:r>
              <w:rPr>
                <w:rFonts w:hint="eastAsia" w:ascii="Times New Roman" w:hAnsi="Times New Roman" w:cs="Times New Roman"/>
                <w:sz w:val="24"/>
                <w:szCs w:val="24"/>
              </w:rPr>
              <w:t>12</w:t>
            </w:r>
            <w:r>
              <w:rPr>
                <w:rFonts w:ascii="Times New Roman" w:hAnsi="Times New Roman" w:cs="Times New Roman"/>
                <w:sz w:val="24"/>
                <w:szCs w:val="24"/>
              </w:rPr>
              <w:t>学分。</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统设必修课：国家开放大学学习指南、计算机应用基础（本）</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选修课：学位论文指南、学位外语等</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3.公共英语课</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按照国家开放大学公共英语课统一要求。</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专业基础课</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该模块最低总部考试学分为</w:t>
            </w:r>
            <w:r>
              <w:rPr>
                <w:rFonts w:hint="eastAsia" w:ascii="Times New Roman" w:hAnsi="Times New Roman" w:cs="Times New Roman"/>
                <w:sz w:val="24"/>
                <w:szCs w:val="24"/>
              </w:rPr>
              <w:t>11</w:t>
            </w:r>
            <w:r>
              <w:rPr>
                <w:rFonts w:ascii="Times New Roman" w:hAnsi="Times New Roman" w:cs="Times New Roman"/>
                <w:sz w:val="24"/>
                <w:szCs w:val="24"/>
              </w:rPr>
              <w:t>学分，模块最低设置学分为</w:t>
            </w:r>
            <w:r>
              <w:rPr>
                <w:rFonts w:hint="eastAsia" w:ascii="Times New Roman" w:hAnsi="Times New Roman" w:cs="Times New Roman"/>
                <w:sz w:val="24"/>
                <w:szCs w:val="24"/>
              </w:rPr>
              <w:t>30</w:t>
            </w:r>
            <w:r>
              <w:rPr>
                <w:rFonts w:ascii="Times New Roman" w:hAnsi="Times New Roman" w:cs="Times New Roman"/>
                <w:sz w:val="24"/>
                <w:szCs w:val="24"/>
              </w:rPr>
              <w:t>学分。</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统设必修课：机电控制工程基础、液压气动技术</w:t>
            </w:r>
            <w:r>
              <w:rPr>
                <w:rFonts w:hint="eastAsia" w:ascii="Times New Roman" w:hAnsi="Times New Roman" w:cs="Times New Roman"/>
                <w:sz w:val="24"/>
                <w:szCs w:val="24"/>
              </w:rPr>
              <w:t>、热工与流体力学基础</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选修课：机械原理（本）、机械设计基础（本）、工程力学、计算机绘图（本）和传感器与测试技术</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专业课</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该模块最低总部考试学分为</w:t>
            </w:r>
            <w:r>
              <w:rPr>
                <w:rFonts w:hint="eastAsia" w:ascii="Times New Roman" w:hAnsi="Times New Roman" w:cs="Times New Roman"/>
                <w:sz w:val="24"/>
                <w:szCs w:val="24"/>
              </w:rPr>
              <w:t>16</w:t>
            </w:r>
            <w:r>
              <w:rPr>
                <w:rFonts w:ascii="Times New Roman" w:hAnsi="Times New Roman" w:cs="Times New Roman"/>
                <w:sz w:val="24"/>
                <w:szCs w:val="24"/>
              </w:rPr>
              <w:t>学分，模块最低设置学分为42学分。</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统设必修课：</w:t>
            </w:r>
            <w:r>
              <w:rPr>
                <w:rFonts w:hint="eastAsia" w:ascii="Times New Roman" w:hAnsi="Times New Roman" w:cs="Times New Roman"/>
                <w:sz w:val="24"/>
                <w:szCs w:val="24"/>
              </w:rPr>
              <w:t>汽车发动机原理、汽车理论、</w:t>
            </w:r>
            <w:r>
              <w:rPr>
                <w:rFonts w:ascii="Times New Roman" w:hAnsi="Times New Roman" w:cs="Times New Roman"/>
                <w:sz w:val="24"/>
                <w:szCs w:val="24"/>
              </w:rPr>
              <w:t>汽车制造工艺学</w:t>
            </w:r>
            <w:r>
              <w:rPr>
                <w:rFonts w:hint="eastAsia" w:ascii="Times New Roman" w:hAnsi="Times New Roman" w:cs="Times New Roman"/>
                <w:sz w:val="24"/>
                <w:szCs w:val="24"/>
              </w:rPr>
              <w:t>、</w:t>
            </w:r>
            <w:r>
              <w:rPr>
                <w:rFonts w:ascii="Times New Roman" w:hAnsi="Times New Roman" w:cs="Times New Roman"/>
                <w:sz w:val="24"/>
                <w:szCs w:val="24"/>
              </w:rPr>
              <w:t>汽车设计</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统设选修课：</w:t>
            </w:r>
            <w:r>
              <w:rPr>
                <w:rFonts w:hint="eastAsia" w:ascii="Times New Roman" w:hAnsi="Times New Roman" w:cs="Times New Roman"/>
                <w:sz w:val="24"/>
                <w:szCs w:val="24"/>
              </w:rPr>
              <w:t>汽车构造（本）、</w:t>
            </w:r>
            <w:r>
              <w:rPr>
                <w:rFonts w:ascii="Times New Roman" w:hAnsi="Times New Roman" w:cs="Times New Roman"/>
                <w:sz w:val="24"/>
                <w:szCs w:val="24"/>
              </w:rPr>
              <w:t>新能源汽车技术、汽车电器与电子控制技术、</w:t>
            </w:r>
            <w:r>
              <w:rPr>
                <w:rFonts w:hint="eastAsia" w:ascii="Times New Roman" w:hAnsi="Times New Roman" w:cs="Times New Roman"/>
                <w:sz w:val="24"/>
                <w:szCs w:val="24"/>
              </w:rPr>
              <w:t>汽车检测与故障诊断技术、汽车排放与噪声控制、</w:t>
            </w:r>
            <w:r>
              <w:rPr>
                <w:rFonts w:ascii="Times New Roman" w:hAnsi="Times New Roman" w:cs="Times New Roman"/>
                <w:sz w:val="24"/>
                <w:szCs w:val="24"/>
              </w:rPr>
              <w:t>汽车服务工程、汽车服务信息系统、</w:t>
            </w:r>
            <w:r>
              <w:rPr>
                <w:rFonts w:hint="eastAsia" w:ascii="Times New Roman" w:hAnsi="Times New Roman" w:cs="Times New Roman"/>
                <w:sz w:val="24"/>
                <w:szCs w:val="24"/>
              </w:rPr>
              <w:t>电气传动与调速系统</w:t>
            </w:r>
            <w:r>
              <w:rPr>
                <w:rFonts w:ascii="Times New Roman" w:hAnsi="Times New Roman" w:cs="Times New Roman"/>
                <w:sz w:val="24"/>
                <w:szCs w:val="24"/>
              </w:rPr>
              <w:t>等</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专业拓展课</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该模块最低总部考试学分为3学分，模块最低设置学分为</w:t>
            </w:r>
            <w:r>
              <w:rPr>
                <w:rFonts w:hint="eastAsia" w:ascii="Times New Roman" w:hAnsi="Times New Roman" w:cs="Times New Roman"/>
                <w:sz w:val="24"/>
                <w:szCs w:val="24"/>
              </w:rPr>
              <w:t>10</w:t>
            </w:r>
            <w:r>
              <w:rPr>
                <w:rFonts w:ascii="Times New Roman" w:hAnsi="Times New Roman" w:cs="Times New Roman"/>
                <w:sz w:val="24"/>
                <w:szCs w:val="24"/>
              </w:rPr>
              <w:t>学分。</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选修课：</w:t>
            </w:r>
            <w:r>
              <w:rPr>
                <w:rFonts w:hint="eastAsia" w:ascii="Times New Roman" w:hAnsi="Times New Roman" w:cs="Times New Roman"/>
                <w:sz w:val="24"/>
                <w:szCs w:val="24"/>
              </w:rPr>
              <w:t>汽车保险与理赔（本）、汽车电子商务（本）、机电控制与可编程序控制器技术</w:t>
            </w:r>
            <w:r>
              <w:rPr>
                <w:rFonts w:ascii="Times New Roman" w:hAnsi="Times New Roman" w:cs="Times New Roman"/>
                <w:sz w:val="24"/>
                <w:szCs w:val="24"/>
              </w:rPr>
              <w:t>、Matlab语言及其应用、</w:t>
            </w:r>
            <w:r>
              <w:rPr>
                <w:rFonts w:hint="eastAsia" w:ascii="Times New Roman" w:hAnsi="Times New Roman" w:cs="Times New Roman"/>
                <w:sz w:val="24"/>
                <w:szCs w:val="24"/>
              </w:rPr>
              <w:t>车联网技术基础</w:t>
            </w:r>
            <w:r>
              <w:rPr>
                <w:rFonts w:ascii="Times New Roman" w:hAnsi="Times New Roman" w:cs="Times New Roman"/>
                <w:sz w:val="24"/>
                <w:szCs w:val="24"/>
              </w:rPr>
              <w:t>、</w:t>
            </w:r>
            <w:r>
              <w:rPr>
                <w:rFonts w:hint="eastAsia" w:ascii="Times New Roman" w:hAnsi="Times New Roman" w:cs="Times New Roman"/>
                <w:sz w:val="24"/>
                <w:szCs w:val="24"/>
              </w:rPr>
              <w:t>无人驾驶车辆设计理论与方法</w:t>
            </w:r>
            <w:r>
              <w:rPr>
                <w:rFonts w:ascii="Times New Roman" w:hAnsi="Times New Roman" w:cs="Times New Roman"/>
                <w:sz w:val="24"/>
                <w:szCs w:val="24"/>
              </w:rPr>
              <w:t>等</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7.</w:t>
            </w:r>
            <w:r>
              <w:rPr>
                <w:rFonts w:ascii="Times New Roman" w:hAnsi="Times New Roman" w:cs="Times New Roman"/>
                <w:sz w:val="24"/>
                <w:szCs w:val="24"/>
              </w:rPr>
              <w:t>通识课</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该模块最低毕业学分</w:t>
            </w:r>
            <w:r>
              <w:rPr>
                <w:rFonts w:ascii="Times New Roman" w:hAnsi="Times New Roman" w:cs="Times New Roman"/>
                <w:sz w:val="24"/>
                <w:szCs w:val="24"/>
              </w:rPr>
              <w:t>2学分，最低总部考试学分为0学分，模块设置最低学分为14学分。</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统设必修课：形式与政策</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国家开放大学设置统一的通识课程平台，所有专业适用此平台的课程；通识课设置及通识教育是国家开放大学人才培养的特色之一，是实施素质教育的具体措施，因此通识课模块课程不得免修免考；已取得国家开放大学（或广播电视大学）毕业证书的学生，若再次注册学习国家开放大学相关专业，原修专业已注册过的通识课程，在新修专业中不得再次注册学习（在教务管理系统中此类课程将不能实现注册）和申请办理课程免修免考，此模块最低毕业学分通过修读本模块的其它通识课程获得。</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8.</w:t>
            </w:r>
            <w:r>
              <w:rPr>
                <w:rFonts w:ascii="Times New Roman" w:hAnsi="Times New Roman" w:cs="Times New Roman"/>
                <w:sz w:val="24"/>
                <w:szCs w:val="24"/>
              </w:rPr>
              <w:t>补修课</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补修课是指在注册本科（专科起点）专业学习的学生中，部分不具备该专业专科学历或不具备学习该专业相关基础知识的学生的必须修补的课程。补修课程学分是按规定需要补修的学生必修的学分和毕业审核的必要条件。补修课程统一使用国家开放大学确定的课程名称，执行统一的教学大纲和教学要求，并由国家开放大学推荐教材、提供相关教学支持服务。本专业需补修的课程是：机械制造基础、机械设计基础、电工电子技术，共12学分。</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9.</w:t>
            </w:r>
            <w:r>
              <w:rPr>
                <w:rFonts w:ascii="Times New Roman" w:hAnsi="Times New Roman" w:cs="Times New Roman"/>
                <w:sz w:val="24"/>
                <w:szCs w:val="24"/>
              </w:rPr>
              <w:t>综合实践</w:t>
            </w:r>
          </w:p>
          <w:p>
            <w:pPr>
              <w:pStyle w:val="4"/>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综合实践成绩记入课程学习成绩，没有完成综合实践环节的不能取得课程学分。</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10.</w:t>
            </w:r>
            <w:r>
              <w:rPr>
                <w:rFonts w:ascii="Times New Roman" w:hAnsi="Times New Roman" w:cs="Times New Roman"/>
                <w:sz w:val="24"/>
                <w:szCs w:val="24"/>
              </w:rPr>
              <w:t>统设必修课严格执行统一课程名称、统一课程学分标准、统一教学大纲、统一教材、统一考试。</w:t>
            </w:r>
          </w:p>
          <w:p>
            <w:pPr>
              <w:pStyle w:val="4"/>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11.教学计划进程表</w:t>
            </w:r>
            <w:r>
              <w:rPr>
                <w:rFonts w:ascii="Times New Roman" w:hAnsi="Times New Roman" w:cs="Times New Roman"/>
                <w:sz w:val="24"/>
                <w:szCs w:val="24"/>
              </w:rPr>
              <w:t>中各课程开设学期是根据专业知识结构提供的课程先修、后续关系确定的，供学生选课时参考。各专业所有统设必修课首次开设后均实行全年滚动开设。</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hint="eastAsia" w:ascii="Times New Roman" w:hAnsi="Times New Roman" w:cs="Times New Roman"/>
                <w:color w:val="auto"/>
                <w:sz w:val="24"/>
                <w:szCs w:val="24"/>
              </w:rPr>
              <w:t>（三）</w:t>
            </w:r>
            <w:r>
              <w:rPr>
                <w:rFonts w:ascii="Times New Roman" w:hAnsi="Times New Roman" w:cs="Times New Roman"/>
                <w:color w:val="auto"/>
                <w:sz w:val="24"/>
                <w:szCs w:val="24"/>
              </w:rPr>
              <w:t>课程说明（</w:t>
            </w:r>
            <w:r>
              <w:rPr>
                <w:rFonts w:hint="eastAsia" w:ascii="Times New Roman" w:hAnsi="Times New Roman" w:cs="Times New Roman"/>
                <w:color w:val="auto"/>
                <w:sz w:val="24"/>
                <w:szCs w:val="24"/>
              </w:rPr>
              <w:t>部分）</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ascii="Times New Roman" w:hAnsi="Times New Roman" w:cs="Times New Roman"/>
                <w:b/>
                <w:color w:val="auto"/>
                <w:sz w:val="24"/>
                <w:szCs w:val="24"/>
              </w:rPr>
              <w:t>1.形势与政策</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本课程2学分，共36学时，本、专科学生在校学习期间开课不断线。</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形势与政策》是国家开放大学面向本专科各专业学生开设的一门思想政治理论必修课程。通过本课程的学习，学生学会运用马克思主义的形势观和政策理论，科学地分析国内外形势，正确地理解党的现行政策，引导他们自觉地拥护党的基本路线，维护社会主义制度，学习世界政治经济与国际关系基本知识，增强实现改革开放和社会主义现代化建设宏伟目标的信心和社会责任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本课程的主要内容包括：党和国家重大的理论政策、社会主义现代化建设的形势、国际形势与国际关系、各省经济社会发展形势与特点、安全教育等内容。</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思想政治理论课实践教学的标准要求，由总部征求各方意见后制定，各分部和学院按照总部要求组织开展。</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w:t>
            </w:r>
            <w:r>
              <w:rPr>
                <w:rFonts w:ascii="Times New Roman" w:hAnsi="Times New Roman" w:cs="Times New Roman"/>
                <w:b/>
                <w:color w:val="auto"/>
                <w:sz w:val="24"/>
                <w:szCs w:val="24"/>
              </w:rPr>
              <w:t>机电控制工程基础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本课程主要阐述了控制工程的最基础的理论和分析方法，为机电控制工程奠定了理论和技术基础。通过本课程的教学，使学生掌握自动控制的基本理论、基本方法，为进一步学习专业课打下基础，并为今后参与开发和维护自主可控、可靠运行的智能制造领域的各种机电控制系统贡献自己的力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相关的数学基础；自动控制的一般概念，系统的微分方程描述，传递函数及其求取以及动态结构图等控制系统的数学模型；控制系统的时域分析及系统的时域性能描述，一阶系统的动态分析，二阶系统的动态分析，系统的稳定性分析及稳态误差分析；控制系统的频域分析及典型环节的频率特性，系统开环频率特性曲线的绘制，频域稳定性分析和稳定判据，对数频率特性曲线与稳态误差；串联校正的分类与设计，控制系统的校正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先修课程：电工电子技术。</w:t>
            </w:r>
          </w:p>
          <w:p>
            <w:pPr>
              <w:pStyle w:val="4"/>
              <w:adjustRightInd w:val="0"/>
              <w:snapToGrid w:val="0"/>
              <w:spacing w:line="360" w:lineRule="auto"/>
              <w:ind w:firstLine="482" w:firstLineChars="200"/>
              <w:rPr>
                <w:rFonts w:ascii="Times New Roman" w:hAnsi="Times New Roman" w:cs="Times New Roman"/>
                <w:color w:val="auto"/>
                <w:sz w:val="24"/>
                <w:szCs w:val="24"/>
              </w:rPr>
            </w:pPr>
            <w:r>
              <w:rPr>
                <w:rFonts w:hint="eastAsia" w:ascii="Times New Roman" w:hAnsi="Times New Roman" w:cs="Times New Roman"/>
                <w:b/>
                <w:color w:val="auto"/>
                <w:sz w:val="24"/>
                <w:szCs w:val="24"/>
              </w:rPr>
              <w:t>3.</w:t>
            </w:r>
            <w:r>
              <w:rPr>
                <w:rFonts w:ascii="Times New Roman" w:hAnsi="Times New Roman" w:cs="Times New Roman"/>
                <w:b/>
                <w:color w:val="auto"/>
                <w:sz w:val="24"/>
                <w:szCs w:val="24"/>
              </w:rPr>
              <w:t>液压气动技术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本课程4学分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通过本课程的教学，使学生掌握液压与气动技术的基础知识，为以后从事机械设计制造、自动化及使用维修方面的工作打下基础</w:t>
            </w:r>
            <w:r>
              <w:rPr>
                <w:rFonts w:hint="eastAsia" w:ascii="Times New Roman" w:hAnsi="Times New Roman" w:cs="Times New Roman"/>
                <w:color w:val="auto"/>
                <w:sz w:val="24"/>
                <w:szCs w:val="24"/>
              </w:rPr>
              <w:t>，为提升液压系统和气动系统的制造质量和水平贡献力量。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包括液压传动和气压传动两部分。前一部分主要介绍液压传动的流体力学基础知识，组成液压系统的动力、执行、控制和辅助四种液压元件以及传动介质，组成液压系统的若干液压基本回路，典型液压系统实例的介绍和液压系统的设计计算。后一部分主要介绍气压传动的基础知识、组成气压传动的基本元件、组成气压系统的基本回路、典型气压系统的实例分析和计算方法。</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先修课程：机械设计基础。</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4. 热工与流体力学基础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本课程</w:t>
            </w:r>
            <w:r>
              <w:rPr>
                <w:rFonts w:ascii="Times New Roman" w:hAnsi="Times New Roman" w:cs="Times New Roman"/>
                <w:color w:val="auto"/>
                <w:sz w:val="24"/>
                <w:szCs w:val="24"/>
              </w:rPr>
              <w:t>3</w:t>
            </w:r>
            <w:r>
              <w:rPr>
                <w:rFonts w:hint="eastAsia" w:ascii="Times New Roman" w:hAnsi="Times New Roman" w:cs="Times New Roman"/>
                <w:color w:val="auto"/>
                <w:sz w:val="24"/>
                <w:szCs w:val="24"/>
              </w:rPr>
              <w:t>学分</w:t>
            </w:r>
            <w:r>
              <w:rPr>
                <w:rFonts w:ascii="Times New Roman" w:hAnsi="Times New Roman" w:cs="Times New Roman"/>
                <w:color w:val="auto"/>
                <w:sz w:val="24"/>
                <w:szCs w:val="24"/>
              </w:rPr>
              <w:t xml:space="preserve">, </w:t>
            </w:r>
            <w:r>
              <w:rPr>
                <w:rFonts w:hint="eastAsia" w:ascii="Times New Roman" w:hAnsi="Times New Roman" w:cs="Times New Roman"/>
                <w:color w:val="auto"/>
                <w:sz w:val="24"/>
                <w:szCs w:val="24"/>
              </w:rPr>
              <w:t>课内学时</w:t>
            </w:r>
            <w:r>
              <w:rPr>
                <w:rFonts w:ascii="Times New Roman" w:hAnsi="Times New Roman" w:cs="Times New Roman"/>
                <w:color w:val="auto"/>
                <w:sz w:val="24"/>
                <w:szCs w:val="24"/>
              </w:rPr>
              <w:t>54</w:t>
            </w:r>
            <w:r>
              <w:rPr>
                <w:rFonts w:hint="eastAsia"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通过本课程的学习，使学生了解工程热力学、传热学和流体力学的基本概念、基本定律和基本理论，培养学生分析问题与解决问题的能力，培养学生具有一定的专业理论基础，为进一步学习专业课及毕业后从事专业工作打下必要的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w:t>
            </w:r>
            <w:r>
              <w:rPr>
                <w:rFonts w:hint="eastAsia" w:ascii="Times New Roman" w:hAnsi="Times New Roman" w:cs="Times New Roman"/>
                <w:color w:val="auto"/>
                <w:sz w:val="24"/>
                <w:szCs w:val="24"/>
              </w:rPr>
              <w:t>包括热力学基本概念、热力学第一、二定律、流体静力学基础、流体阻力和能量损失、稳态导热、对流热换和传热与换热器等内容。</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5.机械原理（本）</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本课程</w:t>
            </w:r>
            <w:r>
              <w:rPr>
                <w:rFonts w:ascii="Times New Roman" w:hAnsi="Times New Roman" w:cs="Times New Roman"/>
                <w:color w:val="auto"/>
                <w:sz w:val="24"/>
                <w:szCs w:val="24"/>
              </w:rPr>
              <w:t>4</w:t>
            </w:r>
            <w:r>
              <w:rPr>
                <w:rFonts w:hint="eastAsia" w:ascii="Times New Roman" w:hAnsi="Times New Roman" w:cs="Times New Roman"/>
                <w:color w:val="auto"/>
                <w:sz w:val="24"/>
                <w:szCs w:val="24"/>
              </w:rPr>
              <w:t>学分</w:t>
            </w:r>
            <w:r>
              <w:rPr>
                <w:rFonts w:ascii="Times New Roman" w:hAnsi="Times New Roman" w:cs="Times New Roman"/>
                <w:color w:val="auto"/>
                <w:sz w:val="24"/>
                <w:szCs w:val="24"/>
              </w:rPr>
              <w:t xml:space="preserve">, </w:t>
            </w:r>
            <w:r>
              <w:rPr>
                <w:rFonts w:hint="eastAsia" w:ascii="Times New Roman" w:hAnsi="Times New Roman" w:cs="Times New Roman"/>
                <w:color w:val="auto"/>
                <w:sz w:val="24"/>
                <w:szCs w:val="24"/>
              </w:rPr>
              <w:t>课内学时</w:t>
            </w:r>
            <w:r>
              <w:rPr>
                <w:rFonts w:ascii="Times New Roman" w:hAnsi="Times New Roman" w:cs="Times New Roman"/>
                <w:color w:val="auto"/>
                <w:sz w:val="24"/>
                <w:szCs w:val="24"/>
              </w:rPr>
              <w:t>72</w:t>
            </w:r>
            <w:r>
              <w:rPr>
                <w:rFonts w:hint="eastAsia"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w:t>
            </w:r>
            <w:r>
              <w:rPr>
                <w:rFonts w:hint="eastAsia" w:ascii="Times New Roman" w:hAnsi="Times New Roman" w:cs="Times New Roman"/>
                <w:color w:val="auto"/>
                <w:sz w:val="24"/>
                <w:szCs w:val="24"/>
              </w:rPr>
              <w:t>通过本课程的学习，使学生了解机械，熟悉机械原理，具备分析机构与设计机构的能力。</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主要内容：平面机构的结构分析；机构的运动分析；机械的平衡；机器运转和速度波动的调节；平面机构的力分析以及</w:t>
            </w:r>
            <w:r>
              <w:rPr>
                <w:rFonts w:ascii="Times New Roman" w:hAnsi="Times New Roman" w:cs="Times New Roman"/>
                <w:color w:val="auto"/>
                <w:sz w:val="24"/>
                <w:szCs w:val="24"/>
              </w:rPr>
              <w:t>Matlab</w:t>
            </w:r>
            <w:r>
              <w:rPr>
                <w:rFonts w:hint="eastAsia" w:ascii="Times New Roman" w:hAnsi="Times New Roman" w:cs="Times New Roman"/>
                <w:color w:val="auto"/>
                <w:sz w:val="24"/>
                <w:szCs w:val="24"/>
              </w:rPr>
              <w:t>语言在机械原理中的应用。</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6.机械设计基础（本）</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w:t>
            </w:r>
            <w:r>
              <w:rPr>
                <w:rFonts w:hint="eastAsia" w:ascii="Times New Roman" w:hAnsi="Times New Roman" w:cs="Times New Roman"/>
                <w:color w:val="auto"/>
                <w:sz w:val="24"/>
                <w:szCs w:val="24"/>
              </w:rPr>
              <w:t>，统设必修，</w:t>
            </w:r>
            <w:r>
              <w:rPr>
                <w:rFonts w:ascii="Times New Roman" w:hAnsi="Times New Roman" w:cs="Times New Roman"/>
                <w:color w:val="auto"/>
                <w:sz w:val="24"/>
                <w:szCs w:val="24"/>
              </w:rPr>
              <w:t>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本课程将“立德树人”贯穿于课程教学全过程。通过本课程的学习，</w:t>
            </w:r>
            <w:r>
              <w:rPr>
                <w:rFonts w:hint="eastAsia" w:ascii="Times New Roman" w:hAnsi="Times New Roman" w:cs="Times New Roman"/>
                <w:color w:val="auto"/>
                <w:sz w:val="24"/>
                <w:szCs w:val="24"/>
              </w:rPr>
              <w:t>可</w:t>
            </w:r>
            <w:r>
              <w:rPr>
                <w:rFonts w:ascii="Times New Roman" w:hAnsi="Times New Roman" w:cs="Times New Roman"/>
                <w:color w:val="auto"/>
                <w:sz w:val="24"/>
                <w:szCs w:val="24"/>
              </w:rPr>
              <w:t>使学生掌握常用的机械机构的结构、运动特点、受力和机械效率，理解各种机构的优缺点，能够正确的选择和运用</w:t>
            </w:r>
            <w:r>
              <w:rPr>
                <w:rFonts w:hint="eastAsia" w:ascii="Times New Roman" w:hAnsi="Times New Roman" w:cs="Times New Roman"/>
                <w:color w:val="auto"/>
                <w:sz w:val="24"/>
                <w:szCs w:val="24"/>
              </w:rPr>
              <w:t>；</w:t>
            </w:r>
            <w:r>
              <w:rPr>
                <w:rFonts w:ascii="Times New Roman" w:hAnsi="Times New Roman" w:cs="Times New Roman"/>
                <w:color w:val="auto"/>
                <w:sz w:val="24"/>
                <w:szCs w:val="24"/>
              </w:rPr>
              <w:t>掌握常用机械零部件的工作原理、特点、失效形式、选用和计算方法</w:t>
            </w:r>
            <w:r>
              <w:rPr>
                <w:rFonts w:hint="eastAsia" w:ascii="Times New Roman" w:hAnsi="Times New Roman" w:cs="Times New Roman"/>
                <w:color w:val="auto"/>
                <w:sz w:val="24"/>
                <w:szCs w:val="24"/>
              </w:rPr>
              <w:t>；能够</w:t>
            </w:r>
            <w:r>
              <w:rPr>
                <w:rFonts w:ascii="Times New Roman" w:hAnsi="Times New Roman" w:cs="Times New Roman"/>
                <w:color w:val="auto"/>
                <w:sz w:val="24"/>
                <w:szCs w:val="24"/>
              </w:rPr>
              <w:t>运用标准、设计手册等进行一般参数的通用零件的选型和简单机械装置设计。</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7.</w:t>
            </w:r>
            <w:r>
              <w:rPr>
                <w:rFonts w:ascii="Times New Roman" w:hAnsi="Times New Roman" w:cs="Times New Roman"/>
                <w:b/>
                <w:color w:val="auto"/>
                <w:sz w:val="24"/>
                <w:szCs w:val="24"/>
              </w:rPr>
              <w:t>工程力学</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本课程4学分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本课程将“立德树人”贯穿于课程教学全过程。通过本课程的教学，使学生掌握理论力学与材料力学的基本知识，为进一步学习后续专业课程打下基础。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静力学的基本概念、平面力系的简化、平面力系的平衡、空间力系的平衡、物体的重心、质心和形心、点的运动学、刚体的基本运动、刚体的平面运动、点的复合运动、动量原理、动能定理、达朗贝尔原理、杆的拉伸与压缩、轴的扭转、平面图形的几何性质、梁的弯曲内力、梁的弯曲应力、梁的弯曲变形、应力状态理论与强度理论、组合变形杆件的强度问题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先修课程：高等数学</w:t>
            </w:r>
            <w:r>
              <w:rPr>
                <w:rFonts w:hint="eastAsia" w:ascii="Times New Roman" w:hAnsi="Times New Roman" w:cs="Times New Roman"/>
                <w:color w:val="auto"/>
                <w:sz w:val="24"/>
                <w:szCs w:val="24"/>
              </w:rPr>
              <w:t>基础、机械设计基础</w:t>
            </w:r>
            <w:r>
              <w:rPr>
                <w:rFonts w:ascii="Times New Roman" w:hAnsi="Times New Roman" w:cs="Times New Roman"/>
                <w:color w:val="auto"/>
                <w:sz w:val="24"/>
                <w:szCs w:val="24"/>
              </w:rPr>
              <w:t>。</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8.</w:t>
            </w:r>
            <w:r>
              <w:rPr>
                <w:rFonts w:ascii="Times New Roman" w:hAnsi="Times New Roman" w:cs="Times New Roman"/>
                <w:b/>
                <w:color w:val="auto"/>
                <w:sz w:val="24"/>
                <w:szCs w:val="24"/>
              </w:rPr>
              <w:t>计算机绘图</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3</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54</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培养学生能对一般图形进行图数转换及编制绘图软件的能力，也包括对现有的图形软件包操作、使用的能力；初步了解计算机辅助设计与计算机绘图的关系，为在其他课程中更广泛应用计算机绘图打下基础</w:t>
            </w:r>
            <w:r>
              <w:rPr>
                <w:rFonts w:hint="eastAsia" w:hAnsi="宋体"/>
                <w:color w:val="auto"/>
                <w:sz w:val="24"/>
                <w:szCs w:val="24"/>
              </w:rPr>
              <w:t>；提高学生机械设计水平和工程应用能力，</w:t>
            </w:r>
            <w:r>
              <w:rPr>
                <w:rFonts w:hint="eastAsia"/>
                <w:color w:val="auto"/>
                <w:sz w:val="24"/>
              </w:rPr>
              <w:t>为把我国建设成为制造强国贡献力量</w:t>
            </w:r>
            <w:r>
              <w:rPr>
                <w:rFonts w:hint="eastAsia" w:hAnsi="宋体"/>
                <w:color w:val="auto"/>
                <w:sz w:val="24"/>
                <w:szCs w:val="24"/>
              </w:rPr>
              <w:t>。</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本课程的主要内容：计算机绘图系统的组成及功能，图形的数学处理方法，编制绘图程序的方法和技巧；了解常用绘图软件包的内容、功能及编辑使用方法。</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先修课程：机械制图。</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9.</w:t>
            </w:r>
            <w:r>
              <w:rPr>
                <w:rFonts w:ascii="Times New Roman" w:hAnsi="Times New Roman" w:cs="Times New Roman"/>
                <w:b/>
                <w:color w:val="auto"/>
                <w:sz w:val="24"/>
                <w:szCs w:val="24"/>
              </w:rPr>
              <w:t>传感器与测试技术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本课程4学分，课内学时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随着信息技术的飞速发展，传感器与测试技术在各领域中的应用愈益广泛, 使其成为新工科发展的基础与前提。通过本课程的教学，使学生掌握常用传感与测试技术的基本理论</w:t>
            </w:r>
            <w:r>
              <w:rPr>
                <w:rFonts w:hint="eastAsia" w:ascii="Times New Roman" w:hAnsi="Times New Roman" w:cs="Times New Roman"/>
                <w:color w:val="auto"/>
                <w:sz w:val="24"/>
                <w:szCs w:val="24"/>
              </w:rPr>
              <w:t>，</w:t>
            </w:r>
            <w:r>
              <w:rPr>
                <w:rFonts w:ascii="Times New Roman" w:hAnsi="Times New Roman" w:cs="Times New Roman"/>
                <w:color w:val="auto"/>
                <w:sz w:val="24"/>
                <w:szCs w:val="24"/>
              </w:rPr>
              <w:t>了解传感器前沿技术，并具有一定的工程测试能力。</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描述测试系统特性的主要参数及测试系统的组成；常用传感器的工作原理、特点和应用，评定指标及选用方法；用于信号中间转换的电桥电路、滤波电路等；辐射式传感器原理及应用；智能传感器；机器人传感技术；虚拟仪器及其在测试系统中的应用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先修课程：机电控制工程基础。</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10.</w:t>
            </w:r>
            <w:r>
              <w:rPr>
                <w:rFonts w:ascii="Times New Roman" w:hAnsi="Times New Roman" w:cs="Times New Roman"/>
                <w:b/>
                <w:color w:val="auto"/>
                <w:sz w:val="24"/>
                <w:szCs w:val="24"/>
              </w:rPr>
              <w:t>汽车发动机原理</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掌握内燃机理论的基本知识，掌握内燃机的能量转换以及循环充量的原理和规律，即动力机械的动力输出与能量利用问题；掌握内燃机的燃烧与排放问题，包括内燃机的燃烧过程、规律与有害排放物及噪声控制；掌握内燃机应用于汽车动力时具有重要影响的运行特性与性能调控问题。为提高汽车的应用效率奠定基础，为学生从事相关专业工作打下理论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本课程的主要内容：汽车发动机性能评价指标、提高性能指标的途径、发动机的基本工作过程（换气过程及混合气形成和燃烧过程）、发动机特性等，并介绍排气污染和噪声振动等知识。</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先修课程：电工电子技术。</w:t>
            </w:r>
          </w:p>
          <w:p>
            <w:pPr>
              <w:pStyle w:val="4"/>
              <w:adjustRightInd w:val="0"/>
              <w:snapToGrid w:val="0"/>
              <w:spacing w:line="360" w:lineRule="auto"/>
              <w:ind w:firstLine="482" w:firstLineChars="200"/>
              <w:rPr>
                <w:rFonts w:ascii="Times New Roman" w:hAnsi="Times New Roman" w:cs="Times New Roman"/>
                <w:color w:val="auto"/>
                <w:sz w:val="24"/>
                <w:szCs w:val="24"/>
              </w:rPr>
            </w:pPr>
            <w:r>
              <w:rPr>
                <w:rFonts w:hint="eastAsia" w:ascii="Times New Roman" w:hAnsi="Times New Roman" w:cs="Times New Roman"/>
                <w:b/>
                <w:color w:val="auto"/>
                <w:sz w:val="24"/>
                <w:szCs w:val="24"/>
              </w:rPr>
              <w:t>11.汽车</w:t>
            </w:r>
            <w:r>
              <w:rPr>
                <w:rFonts w:ascii="Times New Roman" w:hAnsi="Times New Roman" w:cs="Times New Roman"/>
                <w:b/>
                <w:color w:val="auto"/>
                <w:sz w:val="24"/>
                <w:szCs w:val="24"/>
              </w:rPr>
              <w:t>理论</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本课程4学分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掌握汽车主要使用性能的评价指标、评价方法、基本概念和基本规律；掌握分析汽车性能时建立的力学模型和力学分析方法；掌握汽车结构参数及使用条件对汽车性能的影响；掌握汽车主要使用性能的测试方法及测试结果分析。通过本课程的学习，使得学生能够为后续专业课程打下理论基础，也为今后在实际工作中，合理选用汽车、改装各种汽车、新型汽车设计、正确地进行汽车试验等创造条件，为将来从事与汽车有关的工作打下理论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本课程的主要内容：汽车动力性、汽车燃料经济性能、汽车动力装置参数匹配、汽车制动性、汽车操纵稳定性、汽车平顺性、汽车通过性能。</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先修课程：汽车构造、发动机原理。</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12.汽车制造工艺学</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通过本课程的学习，使学生掌握机械加工工艺及装配工艺，加工质量和夹具设计的基本理论和知识，具备工艺规程和工装设计及分析研究加工质量问题的初步能力，为参与汽车设计，制造，管理和使用维修等工作打下一定的理论基础，并对国内外汽车先进制造技术有一定的了解，同时可为后续课程的学习奠定必要的基础。</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本课程的主要内容：</w:t>
            </w:r>
            <w:r>
              <w:rPr>
                <w:rFonts w:hint="eastAsia" w:ascii="Times New Roman" w:hAnsi="Times New Roman" w:cs="Times New Roman"/>
                <w:color w:val="auto"/>
                <w:sz w:val="24"/>
                <w:szCs w:val="24"/>
              </w:rPr>
              <w:t>汽车制造工艺过程概述、工件的夹装和机床夹具、汽车零件表面的加工方法、汽车零件的机械加工质量、尺寸链原理与应用、机械加工工艺规程的制定、汽车产品设计的工艺性、典型零件制造工艺等内容。</w:t>
            </w:r>
          </w:p>
          <w:p>
            <w:pPr>
              <w:pStyle w:val="4"/>
              <w:adjustRightInd w:val="0"/>
              <w:snapToGrid w:val="0"/>
              <w:spacing w:line="360" w:lineRule="auto"/>
              <w:ind w:firstLine="426" w:firstLineChars="177"/>
              <w:rPr>
                <w:rFonts w:ascii="Times New Roman" w:hAnsi="Times New Roman" w:cs="Times New Roman"/>
                <w:b/>
                <w:color w:val="auto"/>
                <w:sz w:val="24"/>
                <w:szCs w:val="24"/>
              </w:rPr>
            </w:pPr>
            <w:r>
              <w:rPr>
                <w:rFonts w:hint="eastAsia" w:ascii="Times New Roman" w:hAnsi="Times New Roman" w:cs="Times New Roman"/>
                <w:b/>
                <w:color w:val="auto"/>
                <w:sz w:val="24"/>
                <w:szCs w:val="24"/>
              </w:rPr>
              <w:t>13.</w:t>
            </w:r>
            <w:r>
              <w:rPr>
                <w:rFonts w:ascii="Times New Roman" w:hAnsi="Times New Roman" w:cs="Times New Roman"/>
                <w:b/>
                <w:color w:val="auto"/>
                <w:sz w:val="24"/>
                <w:szCs w:val="24"/>
              </w:rPr>
              <w:t>汽车设计</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通过本课程的学习，使学生掌握汽车设计的基础理论知识、基本分析方法和一般设计思路，为本专业学生的毕业设计及毕业后从事汽车设计技术工作打开稳固的专业基础。</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本课程的主要内容：分析评价汽车整车及其各大总成系统的结构与性能、合理选择结构方案及有关参数的方法，汽车总体设计的一般方法和主要零部件的设计与计算方法。</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先修课程：汽车理论、汽车发动机。</w:t>
            </w:r>
          </w:p>
          <w:p>
            <w:pPr>
              <w:pStyle w:val="4"/>
              <w:adjustRightInd w:val="0"/>
              <w:snapToGrid w:val="0"/>
              <w:spacing w:line="360" w:lineRule="auto"/>
              <w:ind w:firstLine="426" w:firstLineChars="177"/>
              <w:rPr>
                <w:rFonts w:ascii="Times New Roman" w:hAnsi="Times New Roman" w:cs="Times New Roman"/>
                <w:b/>
                <w:color w:val="auto"/>
                <w:sz w:val="24"/>
                <w:szCs w:val="24"/>
              </w:rPr>
            </w:pPr>
            <w:r>
              <w:rPr>
                <w:rFonts w:hint="eastAsia" w:ascii="Times New Roman" w:hAnsi="Times New Roman" w:cs="Times New Roman"/>
                <w:b/>
                <w:color w:val="auto"/>
                <w:sz w:val="24"/>
                <w:szCs w:val="24"/>
              </w:rPr>
              <w:t>14.</w:t>
            </w:r>
            <w:r>
              <w:rPr>
                <w:rFonts w:ascii="Times New Roman" w:hAnsi="Times New Roman" w:cs="Times New Roman"/>
                <w:b/>
                <w:color w:val="auto"/>
                <w:sz w:val="24"/>
                <w:szCs w:val="24"/>
              </w:rPr>
              <w:t>汽车构造（本）</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本课程4学分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能够了解和掌握汽车总体构造与分系统的基本构造和原理，为汽车动力性能分析、参数选择和结构设计提供理论基础。初步具备动手拆装发动机及汽车底盘各主要总成的技能，了解汽车发展的趋势及动向，为后续专业课的学习奠定基础。</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本课程的主要内容：包括汽车总体构造、发动机构造、传动系统、行驶系统、转向系统、制动系统、车身等。</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先修课程：汽车理论</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15.</w:t>
            </w:r>
            <w:r>
              <w:rPr>
                <w:rFonts w:ascii="Times New Roman" w:hAnsi="Times New Roman" w:cs="Times New Roman"/>
                <w:b/>
                <w:color w:val="auto"/>
                <w:sz w:val="24"/>
                <w:szCs w:val="24"/>
              </w:rPr>
              <w:t xml:space="preserve"> 新能源汽车技术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本课程为4学分，课内学时72学时，开设</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本课程将“立德树人”贯穿于课程教学全过程。通过本课程的教学，使学生理解掌握新能源汽车的结构、原理和先进技术。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本课程的主要内容：绪论、电动汽车用动力电池、电动汽车用电动机、纯电动汽车、混合动力汽车、混合动力汽车、其他新能源汽车等。</w:t>
            </w:r>
          </w:p>
          <w:p>
            <w:pPr>
              <w:pStyle w:val="4"/>
              <w:adjustRightInd w:val="0"/>
              <w:snapToGrid w:val="0"/>
              <w:spacing w:line="360" w:lineRule="auto"/>
              <w:ind w:firstLine="480" w:firstLineChars="200"/>
              <w:rPr>
                <w:rFonts w:asciiTheme="minorEastAsia" w:hAnsiTheme="minorEastAsia"/>
                <w:color w:val="auto"/>
                <w:sz w:val="24"/>
                <w:szCs w:val="24"/>
              </w:rPr>
            </w:pPr>
            <w:r>
              <w:rPr>
                <w:rFonts w:ascii="Times New Roman" w:hAnsi="Times New Roman" w:cs="Times New Roman"/>
                <w:color w:val="auto"/>
                <w:sz w:val="24"/>
                <w:szCs w:val="24"/>
              </w:rPr>
              <w:t>先修课程：汽车构造、发</w:t>
            </w:r>
            <w:r>
              <w:rPr>
                <w:rFonts w:asciiTheme="minorEastAsia" w:hAnsiTheme="minorEastAsia"/>
                <w:color w:val="auto"/>
                <w:sz w:val="24"/>
                <w:szCs w:val="24"/>
              </w:rPr>
              <w:t>动机原理与汽车理论、电工电子技术基础。</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16.</w:t>
            </w:r>
            <w:r>
              <w:rPr>
                <w:rFonts w:ascii="Times New Roman" w:hAnsi="Times New Roman" w:cs="Times New Roman"/>
                <w:b/>
                <w:color w:val="auto"/>
                <w:sz w:val="24"/>
                <w:szCs w:val="24"/>
              </w:rPr>
              <w:t xml:space="preserve"> 汽车电器与电子控制技术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本课程为4学分，课内学时72学时，开设</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通过本课程的学习，使学生掌握现代汽车电器与电子设备的工作原理、结构类型及故障检修技术以及现代汽车电子控制系统的工作原理、结构类型及主要控制系统的故障检修技术和方法。</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本课程的主要内容：汽车电器与电控技术概述、汽车电源技术、汽车起动机技术、汽油机电控技术、柴油机电控技术、汽车行驶性能电控技术、车载局域网技术、汽车自动变速电控技术等。</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先修课程：汽车构造、发动机原理与汽车理论、电工电子技术基础。</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ascii="Times New Roman" w:hAnsi="Times New Roman" w:cs="Times New Roman"/>
                <w:b/>
                <w:color w:val="auto"/>
                <w:sz w:val="24"/>
                <w:szCs w:val="24"/>
              </w:rPr>
              <w:t>17. 汽车专业英语（</w:t>
            </w:r>
            <w:r>
              <w:rPr>
                <w:rFonts w:hint="eastAsia" w:ascii="Times New Roman" w:hAnsi="Times New Roman" w:cs="Times New Roman"/>
                <w:b/>
                <w:color w:val="auto"/>
                <w:sz w:val="24"/>
                <w:szCs w:val="24"/>
              </w:rPr>
              <w:t>本）</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本课程为</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通过本课程的教学，学生应能掌握汽车服务工程领域相关的专业英语，能够阅读翻译中等难度的英文汽车专业文献及相关技术资料，并能够用英文撰写简短的汽车技术文件。</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本课程的主要内容：汽车构造与基本原理、汽车检测与维修、汽车营销与服务、汽车评估、汽车保险、新能源汽车与车联网等。附参考译文和词汇表，便于教学和自学。</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先修课程：汽车构造、发动机原理与汽车理论。</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ascii="Times New Roman" w:hAnsi="Times New Roman" w:cs="Times New Roman"/>
                <w:b/>
                <w:color w:val="auto"/>
                <w:sz w:val="24"/>
                <w:szCs w:val="24"/>
              </w:rPr>
              <w:t>18.汽车检测与故障诊断技术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本课程为3学分，课内学时54学时，开设</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本课程将“立德树人”贯穿于课程教学全过程。通过本课程的教学，使学生掌握汽车检测与故障诊断的专业理论、技术知识和方法。</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本课程的主要内容：概论、发动机的检测与故障诊断、底盘的检测与故障诊断、车身及附件的检测与故障诊断、汽车整车性能检测与故障诊断等。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先修课程：汽车构造、发动机原理与汽车理论、汽车电器与电子控制技术。</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19</w:t>
            </w:r>
            <w:r>
              <w:rPr>
                <w:rFonts w:ascii="Times New Roman" w:hAnsi="Times New Roman" w:cs="Times New Roman"/>
                <w:b/>
                <w:color w:val="auto"/>
                <w:sz w:val="24"/>
                <w:szCs w:val="24"/>
              </w:rPr>
              <w:t>.汽车排放与噪声控制</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本课程为3学分，课内学时54学时，开设</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本课程将“立德树人”贯穿于课程教学全过程。通过本课程的教学，使学生了掌握汽车排放与噪声控制的基本知识和控制技术。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w:t>
            </w:r>
            <w:r>
              <w:rPr>
                <w:rFonts w:hint="eastAsia" w:ascii="Times New Roman" w:hAnsi="Times New Roman" w:cs="Times New Roman"/>
                <w:color w:val="auto"/>
                <w:sz w:val="24"/>
                <w:szCs w:val="24"/>
              </w:rPr>
              <w:t>汽车排气污染物的危害、汽油机的有害排放物及其控制、柴油机排气污染物及其控制、发动机排气后处理技术、汽车排放控制法规和测量技术、在用车的排放控制和诊断系统、车用燃料与排放、汽车噪声控制</w:t>
            </w:r>
            <w:r>
              <w:rPr>
                <w:rFonts w:ascii="Times New Roman" w:hAnsi="Times New Roman" w:cs="Times New Roman"/>
                <w:color w:val="auto"/>
                <w:sz w:val="24"/>
                <w:szCs w:val="24"/>
              </w:rPr>
              <w:t>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先修课程：汽车构造、发动机原理与汽车理论、汽车电器与电子控制技术。</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20.</w:t>
            </w:r>
            <w:r>
              <w:rPr>
                <w:rFonts w:ascii="Times New Roman" w:hAnsi="Times New Roman" w:cs="Times New Roman"/>
                <w:b/>
                <w:color w:val="auto"/>
                <w:sz w:val="24"/>
                <w:szCs w:val="24"/>
              </w:rPr>
              <w:t>汽车服务工程</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本课程4学分</w:t>
            </w:r>
            <w:r>
              <w:rPr>
                <w:rFonts w:hint="eastAsia" w:ascii="Times New Roman" w:hAnsi="Times New Roman" w:cs="Times New Roman"/>
                <w:color w:val="auto"/>
                <w:sz w:val="24"/>
                <w:szCs w:val="24"/>
              </w:rPr>
              <w:t>，</w:t>
            </w:r>
            <w:r>
              <w:rPr>
                <w:rFonts w:ascii="Times New Roman" w:hAnsi="Times New Roman" w:cs="Times New Roman"/>
                <w:color w:val="auto"/>
                <w:sz w:val="24"/>
                <w:szCs w:val="24"/>
              </w:rPr>
              <w:t>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w:t>
            </w:r>
            <w:r>
              <w:rPr>
                <w:rFonts w:ascii="Times New Roman" w:hAnsi="Times New Roman" w:cs="Times New Roman"/>
                <w:color w:val="auto"/>
                <w:sz w:val="24"/>
              </w:rPr>
              <w:t>使学生系统掌握汽车服务工程所涉及的专业领域及内涵，获得汽车服务的系统理论、汽车维修服务与美容、汽车保险与理赔、二手车交易、汽车信息与资讯服务、汽车物流、汽车服务政策法规等方面的基本概念和基本理论。为学</w:t>
            </w:r>
            <w:r>
              <w:rPr>
                <w:rFonts w:ascii="Times New Roman" w:hAnsi="Times New Roman" w:cs="Times New Roman"/>
                <w:color w:val="auto"/>
                <w:sz w:val="24"/>
                <w:szCs w:val="24"/>
              </w:rPr>
              <w:t>习后继课程和进一步获得相关知识奠定必要的理论基础，便于学生在这一具有巨大发展空间和发展前景的领域从事相关工作。</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汽车营销服务、汽车物流服务、汽车售后服务、汽车维修服务、汽车美容装饰与改装、汽车配件与用品服务、汽车保险理理赔服务、汽车金融服务、二手车服务、汽车回收再生服务、汽车司法鉴定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先修课程：汽车理论</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ascii="Times New Roman" w:hAnsi="Times New Roman" w:cs="Times New Roman"/>
                <w:b/>
                <w:color w:val="auto"/>
                <w:sz w:val="24"/>
                <w:szCs w:val="24"/>
              </w:rPr>
              <w:t>21.汽车服务信息系统</w:t>
            </w:r>
          </w:p>
          <w:p>
            <w:pPr>
              <w:pStyle w:val="4"/>
              <w:adjustRightInd w:val="0"/>
              <w:snapToGrid w:val="0"/>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本课程为4学分，课内学时72学时，开设</w:t>
            </w:r>
            <w:r>
              <w:rPr>
                <w:rFonts w:hint="eastAsia" w:ascii="Times New Roman" w:hAnsi="Times New Roman" w:cs="Times New Roman"/>
                <w:color w:val="auto"/>
                <w:sz w:val="24"/>
              </w:rPr>
              <w:t>一</w:t>
            </w:r>
            <w:r>
              <w:rPr>
                <w:rFonts w:ascii="Times New Roman" w:hAnsi="Times New Roman" w:cs="Times New Roman"/>
                <w:color w:val="auto"/>
                <w:sz w:val="24"/>
              </w:rPr>
              <w:t>学期。</w:t>
            </w:r>
          </w:p>
          <w:p>
            <w:pPr>
              <w:pStyle w:val="4"/>
              <w:adjustRightInd w:val="0"/>
              <w:snapToGrid w:val="0"/>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本课程将“立德树人”贯穿于课程教学全过程。通过本课程的教学，使学生理解掌握信息技术和汽车服务的概念、信息系统技术基础、数据库技术以及汽车信息系统开发方法和技术基础。</w:t>
            </w:r>
          </w:p>
          <w:p>
            <w:pPr>
              <w:pStyle w:val="4"/>
              <w:adjustRightInd w:val="0"/>
              <w:snapToGrid w:val="0"/>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本课程的主要内容：汽车服务信息系统概述、汽车服务信息系统的基础技术、汽车供应链管理、汽车信息服务信息采集、汽车零部件采购及供应管理、汽车维修服务信息系统、汽车整车销售管理系统、车联网的应用及车载IT技术、汽车信息服务系统设计等。</w:t>
            </w:r>
          </w:p>
          <w:p>
            <w:pPr>
              <w:pStyle w:val="4"/>
              <w:adjustRightInd w:val="0"/>
              <w:snapToGrid w:val="0"/>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先修课程：计算机应用基础、汽车构造。</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22.</w:t>
            </w:r>
            <w:r>
              <w:rPr>
                <w:rFonts w:ascii="Times New Roman" w:hAnsi="Times New Roman" w:cs="Times New Roman"/>
                <w:b/>
                <w:color w:val="auto"/>
                <w:sz w:val="24"/>
                <w:szCs w:val="24"/>
              </w:rPr>
              <w:t>电气传动与调速系统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本课程3学分，课内学时</w:t>
            </w:r>
            <w:r>
              <w:rPr>
                <w:rFonts w:hint="eastAsia" w:ascii="Times New Roman" w:hAnsi="Times New Roman" w:cs="Times New Roman"/>
                <w:color w:val="auto"/>
                <w:sz w:val="24"/>
                <w:szCs w:val="24"/>
              </w:rPr>
              <w:t>54</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理解直流和交流电动机的基本工作原理和选择使用的方法，同时理解直流和交流电动机速度控制系统的工作原理及其性能特点，为从事电气传动与调速控制方面的实际工作打下坚实的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主要包括电气传动和调速系统两大部分。电气传动部分主要介绍电气传动的动力学基础，直流电动机、异步电动机和同步电动机及其他常用电动机的电气传动，以及电气传动系统中电动机的选择。调速系统部分主要介绍直流电动机的调速系统、三相异步电动机的变频调速系统和同步电动机的变频调速系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先修课程：电工电子技术。</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23.</w:t>
            </w:r>
            <w:r>
              <w:rPr>
                <w:rFonts w:ascii="Times New Roman" w:hAnsi="Times New Roman" w:cs="Times New Roman"/>
                <w:b/>
                <w:color w:val="auto"/>
                <w:sz w:val="24"/>
                <w:szCs w:val="24"/>
              </w:rPr>
              <w:t>机电控制与可编程序控制器技术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5</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90</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在熟悉常用控制电器、典型生产设备电气控制系统的基础上，具备分析、设计和改进一般生产设备电气控制线路的能力；掌握可编程序控制器的基本原理及使用方法，能根据工艺过程和控制要求正确选用可编程序控制器并完成程序设计</w:t>
            </w:r>
            <w:r>
              <w:rPr>
                <w:rFonts w:hint="eastAsia" w:ascii="Times New Roman" w:hAnsi="Times New Roman" w:cs="Times New Roman"/>
                <w:color w:val="auto"/>
                <w:sz w:val="24"/>
                <w:szCs w:val="24"/>
              </w:rPr>
              <w:t>，为提升制造业信息化水平贡献力量。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本课程的主要内容：常用低压电器、电气控制系统的基本控制电路、典型机械设备电气控制系统分析、可编程序控制器及其控制系统的设计和调试、电气控制装置设计等。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先修课程：电工电子技术。</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24.</w:t>
            </w:r>
            <w:r>
              <w:rPr>
                <w:rFonts w:ascii="Times New Roman" w:hAnsi="Times New Roman" w:cs="Times New Roman"/>
                <w:b/>
                <w:color w:val="auto"/>
                <w:sz w:val="24"/>
                <w:szCs w:val="24"/>
              </w:rPr>
              <w:t>机电一体化系统设计基础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5</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90</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通过本课程的学习，使学生掌握机电一体化技术的基本理论及知识，为机电一体化技术的应用打下基础</w:t>
            </w:r>
            <w:r>
              <w:rPr>
                <w:rFonts w:hint="eastAsia" w:ascii="Times New Roman" w:hAnsi="Times New Roman" w:cs="Times New Roman"/>
                <w:color w:val="auto"/>
                <w:sz w:val="24"/>
                <w:szCs w:val="24"/>
              </w:rPr>
              <w:t>，为推进制造业数字化、网络化、智能化水平贡献力量。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 机电一体化的基本概念、技术体系及发展前景，机电一体化系统设计工程路线，机电一体化机械系统，机电一体化中的动力与装置，计算机控制系统的选用，系统机械量的检测方法，机电一体化技术的应用实例。</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先修课程：机电控制工程基础、液压气动技术、传感器与测试技术。</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25.</w:t>
            </w:r>
            <w:r>
              <w:rPr>
                <w:rFonts w:ascii="Times New Roman" w:hAnsi="Times New Roman" w:cs="Times New Roman"/>
                <w:b/>
                <w:color w:val="auto"/>
                <w:sz w:val="24"/>
                <w:szCs w:val="24"/>
              </w:rPr>
              <w:t>机械CAD/CAM</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CAD/CAM是实现信息处理高度一体化、提高设计制造质量和生产率最佳方法的新技术。通过本课程的学习，使学生能够初步掌握利用计算机来完成多品种机械产品的设计与制造任务</w:t>
            </w:r>
            <w:r>
              <w:rPr>
                <w:rFonts w:hint="eastAsia" w:hAnsi="宋体"/>
                <w:color w:val="auto"/>
                <w:sz w:val="24"/>
                <w:szCs w:val="24"/>
              </w:rPr>
              <w:t>，为今后从事工程技术工作，提高产品设计开发和创新能力打下基础，</w:t>
            </w:r>
            <w:r>
              <w:rPr>
                <w:rFonts w:hint="eastAsia"/>
                <w:color w:val="auto"/>
                <w:sz w:val="24"/>
              </w:rPr>
              <w:t>为把我国建设成为制造强国贡献力量</w:t>
            </w:r>
            <w:r>
              <w:rPr>
                <w:rFonts w:hint="eastAsia" w:hAnsi="宋体"/>
                <w:color w:val="auto"/>
                <w:sz w:val="24"/>
                <w:szCs w:val="24"/>
              </w:rPr>
              <w:t>。</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本课程的主要内容：CAD/CAM的总体结构、硬件系统、软件系统，计算机辅助设计（CAD） 系统的类型、相关技术以及应用开发；计算机辅助制造（CAM） 和成组技术（GT）； 计算机辅助工艺过程设计（CAPP） 技术；CAD/CAM系统集成等关键技术。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先修课程：微机原理与应用、机械制造基础、机械设计基础。</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26.</w:t>
            </w:r>
            <w:r>
              <w:rPr>
                <w:rFonts w:ascii="Times New Roman" w:hAnsi="Times New Roman" w:cs="Times New Roman"/>
                <w:b/>
                <w:color w:val="auto"/>
                <w:sz w:val="24"/>
                <w:szCs w:val="24"/>
              </w:rPr>
              <w:t>机器人技术及应用</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本课程3学分，课内学时</w:t>
            </w:r>
            <w:r>
              <w:rPr>
                <w:rFonts w:hint="eastAsia" w:ascii="Times New Roman" w:hAnsi="Times New Roman" w:cs="Times New Roman"/>
                <w:color w:val="auto"/>
                <w:sz w:val="24"/>
                <w:szCs w:val="24"/>
              </w:rPr>
              <w:t>54</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本课程是集机械、电子、控制、计算机、传感器、人工智能等多学科先进技术于一体的一门现代制造业技术课程，机器人技术的广泛应用正在日益改变着人们的生产和生活方式。通过本课程的理论、实验以及案例教学，使学生了解和理解机器人技术的基本理论和概念，掌握机器人设计的基本方法、机器人控制的基本技术、机器人组装调试的基本能力，为今后参与开发、组装、调试自主可控、安全、可靠运行的各种机器人系统贡献自己的力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本课程主要内容:机器人的基本概念，机器人机械系统的组成，机器人驱动系统的组成，机器人感知系统的组成，机器人控制系统的组成,常用的机器人程序设计软件与编程方法。</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先修课：高等数学、机械原理、机械设计、微机原理、自动控制等。</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27.</w:t>
            </w:r>
            <w:r>
              <w:rPr>
                <w:rFonts w:ascii="Times New Roman" w:hAnsi="Times New Roman" w:cs="Times New Roman"/>
                <w:b/>
                <w:color w:val="auto"/>
                <w:sz w:val="24"/>
                <w:szCs w:val="24"/>
              </w:rPr>
              <w:t>Matlab语言及其应用</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本课程3学分，课内学时</w:t>
            </w:r>
            <w:r>
              <w:rPr>
                <w:rFonts w:hint="eastAsia" w:ascii="Times New Roman" w:hAnsi="Times New Roman" w:cs="Times New Roman"/>
                <w:color w:val="auto"/>
                <w:sz w:val="24"/>
                <w:szCs w:val="24"/>
              </w:rPr>
              <w:t>54</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通过本课程的学习，使学生能够运用Matlab语言工具快速实现科学计算和工程计算的算法思想，完成算法的仿真，并具备一定的实验技能，为今后走向社会开发大型算法系统奠定基础。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本课程的主要内容：Matlab语言的基础、Matlab程序设计、Matlab的图形功能、Matlab数值分析与处理、Matlab系统建模与仿真、Matlab在自动控制及智能控制中的应用以及Matlab辅助机械系统设计。</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先修课程：计算机应用基础（本）、机电控制工程基础等课程。</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hint="eastAsia" w:ascii="Times New Roman" w:hAnsi="Times New Roman" w:cs="Times New Roman"/>
                <w:b/>
                <w:color w:val="auto"/>
                <w:sz w:val="24"/>
                <w:szCs w:val="24"/>
              </w:rPr>
              <w:t>28.</w:t>
            </w:r>
            <w:r>
              <w:rPr>
                <w:rFonts w:ascii="Times New Roman" w:hAnsi="Times New Roman" w:cs="Times New Roman"/>
                <w:b/>
                <w:color w:val="auto"/>
                <w:sz w:val="24"/>
                <w:szCs w:val="24"/>
              </w:rPr>
              <w:t>机械制造装备及设计</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本课程3学分，课内学时</w:t>
            </w:r>
            <w:r>
              <w:rPr>
                <w:rFonts w:hint="eastAsia" w:ascii="Times New Roman" w:hAnsi="Times New Roman" w:cs="Times New Roman"/>
                <w:color w:val="auto"/>
                <w:sz w:val="24"/>
                <w:szCs w:val="24"/>
              </w:rPr>
              <w:t>54</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通过本课程的学习，使学生掌握机械制造装备的基本知识，初步具备机械制造装备总体设计和典型部件的设计能力，使学生树立正确的设计思想和掌握机床设计的基本方法，为设计出具有自主知识产权的机械产品打下坚实的基础，为把我国建设成为制造强国贡献力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金属切削机床的种类、总体布局的设计方法和设计步骤及其运动、动力参数的确定方法；机床的主轴系统、主传动系统、进给系统的设计方法；切削刀具及设计；机床夹具及设计；工业机器人；机械加工生产线及设计和机械装备管理等。</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先修课程：机械制图、机械制造基础、液压与气压传动</w:t>
            </w:r>
          </w:p>
          <w:p>
            <w:pPr>
              <w:pStyle w:val="4"/>
              <w:adjustRightInd w:val="0"/>
              <w:snapToGrid w:val="0"/>
              <w:spacing w:line="360" w:lineRule="auto"/>
              <w:ind w:firstLine="482" w:firstLineChars="200"/>
              <w:rPr>
                <w:rFonts w:ascii="Times New Roman" w:hAnsi="Times New Roman" w:cs="Times New Roman"/>
                <w:b/>
                <w:color w:val="auto"/>
                <w:sz w:val="24"/>
                <w:szCs w:val="24"/>
              </w:rPr>
            </w:pPr>
            <w:r>
              <w:rPr>
                <w:rFonts w:ascii="Times New Roman" w:hAnsi="Times New Roman" w:cs="Times New Roman"/>
                <w:b/>
                <w:color w:val="auto"/>
                <w:sz w:val="24"/>
                <w:szCs w:val="24"/>
              </w:rPr>
              <w:t>29.机械制造基础#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掌握各类工程材料的特点和主要性能，了解毛坯的成型方法，掌握公差配合与测量技术以及金属切削加工与质量控制方面的基本知识。培养学生的工程技术素质，锻炼学生的工程实践能力，为把我国建设成为制造强国贡献力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材料的力学性能，铁碳合金、钢、合金钢、有色金属、非金属材料等工程材料的特点、性能，钢的热处理方法，零件和工具的选材和热处理；铸造、锻压、焊接等毛坯的成型方法；公差配合与技术测量，机械切削加工基础等。</w:t>
            </w:r>
          </w:p>
          <w:p>
            <w:pPr>
              <w:pStyle w:val="4"/>
              <w:adjustRightInd w:val="0"/>
              <w:snapToGrid w:val="0"/>
              <w:spacing w:line="360" w:lineRule="auto"/>
              <w:ind w:firstLine="482" w:firstLineChars="200"/>
              <w:rPr>
                <w:rFonts w:ascii="Times New Roman" w:hAnsi="Times New Roman" w:cs="Times New Roman"/>
                <w:color w:val="auto"/>
              </w:rPr>
            </w:pPr>
            <w:r>
              <w:rPr>
                <w:rFonts w:ascii="Times New Roman" w:hAnsi="Times New Roman" w:cs="Times New Roman"/>
                <w:b/>
                <w:color w:val="auto"/>
                <w:sz w:val="24"/>
                <w:szCs w:val="24"/>
              </w:rPr>
              <w:t>30.机械设计基础#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初步建立工程概念；初步掌握工程实际中简单力学问题的分析方法、典型变形下的力学性能及强度校核的基本知识；掌握常用机构的原理、运动分析和通用机械零件的结构要素、工艺要素、零件的强度校核等基本知识，初步具有分析和选用机械零件及简单机械传动装置的能力；具有初步的实验知识和动手能力。</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机械设计概述；平面机构的结构分析、平面连杆机构、凸轮机构、间歇运动机构；螺纹连接与螺旋传动、带传动、链传动、齿轮传动、齿轮系；轴和轴毂连接、轴承、润滑与密封装置及其他常用零部件等。强调提升机械设计水平，从而提高机械产品质量，体现质量为先的制造业强国方针。</w:t>
            </w:r>
          </w:p>
          <w:p>
            <w:pPr>
              <w:pStyle w:val="4"/>
              <w:adjustRightInd w:val="0"/>
              <w:snapToGrid w:val="0"/>
              <w:spacing w:line="360" w:lineRule="auto"/>
              <w:ind w:firstLine="482" w:firstLineChars="200"/>
              <w:rPr>
                <w:rFonts w:ascii="Times New Roman" w:hAnsi="Times New Roman" w:cs="Times New Roman"/>
                <w:color w:val="auto"/>
              </w:rPr>
            </w:pPr>
            <w:r>
              <w:rPr>
                <w:rFonts w:ascii="Times New Roman" w:hAnsi="Times New Roman" w:cs="Times New Roman"/>
                <w:b/>
                <w:color w:val="auto"/>
                <w:sz w:val="24"/>
                <w:szCs w:val="24"/>
              </w:rPr>
              <w:t>31.电工电子技术#</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w:t>
            </w:r>
            <w:r>
              <w:rPr>
                <w:rFonts w:hint="eastAsia" w:ascii="Times New Roman" w:hAnsi="Times New Roman" w:cs="Times New Roman"/>
                <w:color w:val="auto"/>
                <w:sz w:val="24"/>
                <w:szCs w:val="24"/>
              </w:rPr>
              <w:t>4</w:t>
            </w:r>
            <w:r>
              <w:rPr>
                <w:rFonts w:ascii="Times New Roman" w:hAnsi="Times New Roman" w:cs="Times New Roman"/>
                <w:color w:val="auto"/>
                <w:sz w:val="24"/>
                <w:szCs w:val="24"/>
              </w:rPr>
              <w:t>学分，课内学时</w:t>
            </w:r>
            <w:r>
              <w:rPr>
                <w:rFonts w:hint="eastAsia" w:ascii="Times New Roman" w:hAnsi="Times New Roman" w:cs="Times New Roman"/>
                <w:color w:val="auto"/>
                <w:sz w:val="24"/>
                <w:szCs w:val="24"/>
              </w:rPr>
              <w:t>72</w:t>
            </w:r>
            <w:r>
              <w:rPr>
                <w:rFonts w:ascii="Times New Roman" w:hAnsi="Times New Roman" w:cs="Times New Roman"/>
                <w:color w:val="auto"/>
                <w:sz w:val="24"/>
                <w:szCs w:val="24"/>
              </w:rPr>
              <w:t>学时，开设一学期。</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通过本课程的学习，使学生掌握电路、电机以及电子技术方面的基本理论、基本知识以及工程技术领域中应用的基本方法和操作技能，为学习后续专业知识、从事机电及信息技术的相关工作打下良好的基础。</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课程的主要内容：包括电工技术和电子技术两部分。电工技术部分主要包括：直流电路、交流电路、磁路基本概念；电动机及其应用、电工测量技术、电工仪表、工具、低压电器和安全用电等内容。电子技术部分主要包括：基本电子元器件、基本电子线路、放大器、稳压器；基本数字电路、电子测量技术、常用电子测试设备及新技术介绍等内容。</w:t>
            </w:r>
          </w:p>
          <w:p>
            <w:pPr>
              <w:pStyle w:val="4"/>
              <w:adjustRightInd w:val="0"/>
              <w:snapToGrid w:val="0"/>
              <w:spacing w:line="360" w:lineRule="auto"/>
              <w:ind w:firstLine="424" w:firstLineChars="177"/>
              <w:rPr>
                <w:rFonts w:ascii="Times New Roman" w:hAnsi="Times New Roman" w:cs="Times New Roman"/>
                <w:color w:val="auto"/>
                <w:sz w:val="24"/>
                <w:szCs w:val="24"/>
              </w:rPr>
            </w:pPr>
            <w:r>
              <w:rPr>
                <w:rFonts w:ascii="Times New Roman" w:hAnsi="Times New Roman" w:cs="Times New Roman"/>
                <w:color w:val="auto"/>
                <w:sz w:val="24"/>
                <w:szCs w:val="24"/>
              </w:rPr>
              <w:t>（</w:t>
            </w:r>
            <w:r>
              <w:rPr>
                <w:rFonts w:hint="eastAsia" w:ascii="Times New Roman" w:hAnsi="Times New Roman" w:cs="Times New Roman"/>
                <w:color w:val="auto"/>
                <w:sz w:val="24"/>
                <w:szCs w:val="24"/>
              </w:rPr>
              <w:t>四）</w:t>
            </w:r>
            <w:r>
              <w:rPr>
                <w:rFonts w:ascii="Times New Roman" w:hAnsi="Times New Roman" w:cs="Times New Roman"/>
                <w:color w:val="auto"/>
                <w:sz w:val="24"/>
                <w:szCs w:val="24"/>
              </w:rPr>
              <w:t>课程考核方式</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w:t>
            </w:r>
            <w:r>
              <w:rPr>
                <w:rFonts w:hint="eastAsia" w:ascii="Times New Roman" w:hAnsi="Times New Roman" w:cs="Times New Roman"/>
                <w:color w:val="auto"/>
                <w:sz w:val="24"/>
                <w:szCs w:val="24"/>
              </w:rPr>
              <w:t>．</w:t>
            </w:r>
            <w:r>
              <w:rPr>
                <w:rFonts w:ascii="Times New Roman" w:hAnsi="Times New Roman" w:cs="Times New Roman"/>
                <w:color w:val="auto"/>
                <w:sz w:val="24"/>
                <w:szCs w:val="24"/>
              </w:rPr>
              <w:t>形成性考核</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本专业每门课程均安排形成性考核，主要形式为平时计分作业、小</w:t>
            </w:r>
            <w:r>
              <w:rPr>
                <w:rFonts w:hint="eastAsia" w:ascii="Times New Roman" w:hAnsi="Times New Roman" w:cs="Times New Roman"/>
                <w:color w:val="auto"/>
                <w:sz w:val="24"/>
                <w:szCs w:val="24"/>
              </w:rPr>
              <w:t>组活动</w:t>
            </w:r>
            <w:r>
              <w:rPr>
                <w:rFonts w:ascii="Times New Roman" w:hAnsi="Times New Roman" w:cs="Times New Roman"/>
                <w:color w:val="auto"/>
                <w:sz w:val="24"/>
                <w:szCs w:val="24"/>
              </w:rPr>
              <w:t>、实验实践等，成绩占总成绩的</w:t>
            </w:r>
            <w:r>
              <w:rPr>
                <w:rFonts w:hint="eastAsia" w:ascii="Times New Roman" w:hAnsi="Times New Roman" w:cs="Times New Roman"/>
                <w:color w:val="auto"/>
                <w:sz w:val="24"/>
                <w:szCs w:val="24"/>
              </w:rPr>
              <w:t>30%左右，</w:t>
            </w:r>
            <w:r>
              <w:rPr>
                <w:rFonts w:ascii="Times New Roman" w:hAnsi="Times New Roman" w:cs="Times New Roman"/>
                <w:color w:val="auto"/>
                <w:sz w:val="24"/>
                <w:szCs w:val="24"/>
              </w:rPr>
              <w:t>具体参考各门课程考核说明的具体要求。未完成形成性考核者，不能参加终结性考核。</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统设必修课的形成性考核由国家开放大学统一安排，其他课程由各分部责任教师安排，可以通过网络或面授辅导等渠道加以布置。由各分部落实本地区的形成性考核工作，并组织作业批改。</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w:t>
            </w:r>
            <w:r>
              <w:rPr>
                <w:rFonts w:hint="eastAsia" w:ascii="Times New Roman" w:hAnsi="Times New Roman" w:cs="Times New Roman"/>
                <w:color w:val="auto"/>
                <w:sz w:val="24"/>
                <w:szCs w:val="24"/>
              </w:rPr>
              <w:t>．</w:t>
            </w:r>
            <w:r>
              <w:rPr>
                <w:rFonts w:ascii="Times New Roman" w:hAnsi="Times New Roman" w:cs="Times New Roman"/>
                <w:color w:val="auto"/>
                <w:sz w:val="24"/>
                <w:szCs w:val="24"/>
              </w:rPr>
              <w:t>终结性考核</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终结性考试针对课程特点有纸质考试、计算机考试等形式，具体安排请参考各门课程的考核说明。根据成人学习的学习特点，积极探索过程性评价、表现性评价、社会性评价等课程多元评价模式与机制。</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分部负责考场设置、监考、阅卷、登分等考试组织与实施工作，并向国家开放大学报送有关考试数据及每学期的考试情况和成绩分析。</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（五）“</w:t>
            </w:r>
            <w:r>
              <w:rPr>
                <w:rFonts w:ascii="Times New Roman" w:hAnsi="Times New Roman" w:cs="Times New Roman"/>
                <w:color w:val="auto"/>
                <w:sz w:val="24"/>
                <w:szCs w:val="24"/>
              </w:rPr>
              <w:t>1+X”</w:t>
            </w:r>
            <w:r>
              <w:rPr>
                <w:rFonts w:hint="eastAsia" w:ascii="Times New Roman" w:hAnsi="Times New Roman" w:cs="Times New Roman"/>
                <w:color w:val="auto"/>
                <w:sz w:val="24"/>
                <w:szCs w:val="24"/>
              </w:rPr>
              <w:t>证书说明</w:t>
            </w:r>
          </w:p>
          <w:p>
            <w:pPr>
              <w:pStyle w:val="4"/>
              <w:adjustRightInd w:val="0"/>
              <w:snapToGrid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本专业采用“学历+职业技能证书”培养模式，学生在完成本专业学习的同时，可以考取相关的职业技能等级证书：汽车运用与维修、智能新能源汽车。已获得相关职业技能等级证书的，可以进行学分互换，免修免考3学分的综合实践课：汽车设计制造实训、汽车检测实训和汽车电控实训。</w:t>
            </w:r>
          </w:p>
          <w:p>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六、毕业规则与学位规则</w:t>
            </w:r>
          </w:p>
          <w:p>
            <w:pPr>
              <w:pStyle w:val="4"/>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各模块最低毕业学分依次是：思想政治课8学分；公共基础课5学分；专业基础课11学分；专业课19学分；专业拓展课3学分；通识课2学分；综合实践13学分；公共英语课6学分；补修课12学分。</w:t>
            </w:r>
          </w:p>
          <w:p>
            <w:pPr>
              <w:pStyle w:val="4"/>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毕业最低总学分为72学分，需补修的学分为12学分。各模块最低毕业学分之和为67学分，各模块最低总部考试学分之和为46学分。</w:t>
            </w:r>
          </w:p>
          <w:p>
            <w:pPr>
              <w:pStyle w:val="4"/>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学生自入学起8年内修完培养方案中所规定的课程且考试成绩合格取得相应学分，思想品德经鉴定符合要求，可参加毕业审查，办理毕业证书；符合学位授予条件的，授予学位。</w:t>
            </w:r>
          </w:p>
          <w:p>
            <w:pPr>
              <w:rPr>
                <w:rFonts w:ascii="Times New Roman" w:hAnsi="Times New Roman"/>
                <w:b/>
                <w:sz w:val="28"/>
                <w:szCs w:val="28"/>
              </w:rPr>
            </w:pPr>
            <w:r>
              <w:rPr>
                <w:rFonts w:hint="eastAsia" w:ascii="Times New Roman" w:hAnsi="Times New Roman"/>
                <w:b/>
                <w:sz w:val="28"/>
                <w:szCs w:val="28"/>
              </w:rPr>
              <w:t>七</w:t>
            </w:r>
            <w:r>
              <w:rPr>
                <w:rFonts w:ascii="Times New Roman" w:hAnsi="Times New Roman"/>
                <w:b/>
                <w:sz w:val="28"/>
                <w:szCs w:val="28"/>
              </w:rPr>
              <w:t>、</w:t>
            </w:r>
            <w:r>
              <w:rPr>
                <w:rFonts w:ascii="宋体" w:hAnsi="宋体"/>
                <w:b/>
                <w:sz w:val="28"/>
                <w:szCs w:val="28"/>
              </w:rPr>
              <w:t>教学计划进程表</w:t>
            </w:r>
          </w:p>
          <w:p>
            <w:pPr>
              <w:spacing w:line="360" w:lineRule="auto"/>
              <w:jc w:val="center"/>
              <w:rPr>
                <w:rFonts w:ascii="Times New Roman" w:hAnsi="Times New Roman"/>
                <w:sz w:val="28"/>
                <w:szCs w:val="28"/>
              </w:rPr>
            </w:pPr>
          </w:p>
          <w:p>
            <w:pPr>
              <w:spacing w:line="360" w:lineRule="auto"/>
              <w:jc w:val="center"/>
              <w:rPr>
                <w:rFonts w:ascii="Times New Roman" w:hAnsi="Times New Roman"/>
                <w:sz w:val="28"/>
                <w:szCs w:val="28"/>
              </w:rPr>
            </w:pPr>
          </w:p>
          <w:p>
            <w:pPr>
              <w:spacing w:line="360" w:lineRule="auto"/>
              <w:jc w:val="center"/>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工学科机械类</w:t>
            </w:r>
          </w:p>
          <w:p>
            <w:pPr>
              <w:spacing w:line="360" w:lineRule="auto"/>
              <w:jc w:val="center"/>
              <w:rPr>
                <w:rFonts w:hint="eastAsia" w:asciiTheme="minorEastAsia" w:hAnsiTheme="minorEastAsia" w:eastAsiaTheme="minorEastAsia" w:cstheme="minorEastAsia"/>
                <w:b w:val="0"/>
                <w:bCs w:val="0"/>
                <w:sz w:val="15"/>
                <w:szCs w:val="16"/>
                <w:lang w:eastAsia="zh-CN"/>
              </w:rPr>
            </w:pPr>
            <w:r>
              <w:rPr>
                <w:rFonts w:hint="eastAsia" w:asciiTheme="minorEastAsia" w:hAnsiTheme="minorEastAsia" w:eastAsiaTheme="minorEastAsia" w:cstheme="minorEastAsia"/>
                <w:b w:val="0"/>
                <w:bCs w:val="0"/>
                <w:sz w:val="22"/>
                <w:szCs w:val="22"/>
              </w:rPr>
              <w:t>车辆工程专业（本科）专业</w:t>
            </w:r>
            <w:r>
              <w:rPr>
                <w:rFonts w:hint="eastAsia" w:asciiTheme="minorEastAsia" w:hAnsiTheme="minorEastAsia" w:eastAsiaTheme="minorEastAsia" w:cstheme="minorEastAsia"/>
                <w:b w:val="0"/>
                <w:bCs w:val="0"/>
                <w:sz w:val="22"/>
                <w:szCs w:val="22"/>
                <w:lang w:eastAsia="zh-CN"/>
              </w:rPr>
              <w:t>教学计划进程表</w:t>
            </w:r>
          </w:p>
          <w:tbl>
            <w:tblPr>
              <w:tblStyle w:val="11"/>
              <w:tblW w:w="9127" w:type="dxa"/>
              <w:tblInd w:w="0" w:type="dxa"/>
              <w:tblLayout w:type="fixed"/>
              <w:tblCellMar>
                <w:top w:w="0" w:type="dxa"/>
                <w:left w:w="108" w:type="dxa"/>
                <w:bottom w:w="0" w:type="dxa"/>
                <w:right w:w="108" w:type="dxa"/>
              </w:tblCellMar>
            </w:tblPr>
            <w:tblGrid>
              <w:gridCol w:w="397"/>
              <w:gridCol w:w="482"/>
              <w:gridCol w:w="762"/>
              <w:gridCol w:w="492"/>
              <w:gridCol w:w="479"/>
              <w:gridCol w:w="721"/>
              <w:gridCol w:w="465"/>
              <w:gridCol w:w="2030"/>
              <w:gridCol w:w="470"/>
              <w:gridCol w:w="588"/>
              <w:gridCol w:w="577"/>
              <w:gridCol w:w="463"/>
              <w:gridCol w:w="614"/>
              <w:gridCol w:w="587"/>
            </w:tblGrid>
            <w:tr>
              <w:tblPrEx>
                <w:tblCellMar>
                  <w:top w:w="0" w:type="dxa"/>
                  <w:left w:w="108" w:type="dxa"/>
                  <w:bottom w:w="0" w:type="dxa"/>
                  <w:right w:w="108" w:type="dxa"/>
                </w:tblCellMar>
              </w:tblPrEx>
              <w:trPr>
                <w:gridAfter w:val="1"/>
                <w:wAfter w:w="552" w:type="dxa"/>
                <w:trHeight w:val="610" w:hRule="atLeast"/>
              </w:trPr>
              <w:tc>
                <w:tcPr>
                  <w:tcW w:w="15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专业名称</w:t>
                  </w:r>
                </w:p>
              </w:tc>
              <w:tc>
                <w:tcPr>
                  <w:tcW w:w="202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车辆工程</w:t>
                  </w:r>
                </w:p>
              </w:tc>
              <w:tc>
                <w:tcPr>
                  <w:tcW w:w="2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规则号</w:t>
                  </w:r>
                </w:p>
              </w:tc>
              <w:tc>
                <w:tcPr>
                  <w:tcW w:w="210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Cs w:val="21"/>
                    </w:rPr>
                  </w:pPr>
                </w:p>
              </w:tc>
            </w:tr>
            <w:tr>
              <w:tblPrEx>
                <w:tblCellMar>
                  <w:top w:w="0" w:type="dxa"/>
                  <w:left w:w="108" w:type="dxa"/>
                  <w:bottom w:w="0" w:type="dxa"/>
                  <w:right w:w="108" w:type="dxa"/>
                </w:tblCellMar>
              </w:tblPrEx>
              <w:trPr>
                <w:gridAfter w:val="1"/>
                <w:wAfter w:w="552" w:type="dxa"/>
                <w:trHeight w:val="331" w:hRule="atLeast"/>
              </w:trPr>
              <w:tc>
                <w:tcPr>
                  <w:tcW w:w="15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学生类型</w:t>
                  </w:r>
                </w:p>
              </w:tc>
              <w:tc>
                <w:tcPr>
                  <w:tcW w:w="202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开放</w:t>
                  </w:r>
                </w:p>
              </w:tc>
              <w:tc>
                <w:tcPr>
                  <w:tcW w:w="2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专业层次</w:t>
                  </w:r>
                </w:p>
              </w:tc>
              <w:tc>
                <w:tcPr>
                  <w:tcW w:w="210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本科(专科起点)</w:t>
                  </w:r>
                </w:p>
              </w:tc>
            </w:tr>
            <w:tr>
              <w:tblPrEx>
                <w:tblCellMar>
                  <w:top w:w="0" w:type="dxa"/>
                  <w:left w:w="108" w:type="dxa"/>
                  <w:bottom w:w="0" w:type="dxa"/>
                  <w:right w:w="108" w:type="dxa"/>
                </w:tblCellMar>
              </w:tblPrEx>
              <w:trPr>
                <w:gridAfter w:val="1"/>
                <w:wAfter w:w="552" w:type="dxa"/>
                <w:trHeight w:val="331" w:hRule="atLeast"/>
              </w:trPr>
              <w:tc>
                <w:tcPr>
                  <w:tcW w:w="15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毕业学分</w:t>
                  </w:r>
                </w:p>
              </w:tc>
              <w:tc>
                <w:tcPr>
                  <w:tcW w:w="202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7</w:t>
                  </w:r>
                  <w:r>
                    <w:rPr>
                      <w:rFonts w:hint="eastAsia" w:ascii="Times New Roman" w:hAnsi="Times New Roman"/>
                      <w:color w:val="000000"/>
                      <w:kern w:val="0"/>
                      <w:szCs w:val="21"/>
                    </w:rPr>
                    <w:t>2</w:t>
                  </w:r>
                </w:p>
              </w:tc>
              <w:tc>
                <w:tcPr>
                  <w:tcW w:w="2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国家开放大学考试学分</w:t>
                  </w:r>
                </w:p>
              </w:tc>
              <w:tc>
                <w:tcPr>
                  <w:tcW w:w="210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4</w:t>
                  </w:r>
                  <w:r>
                    <w:rPr>
                      <w:rFonts w:hint="eastAsia" w:ascii="Times New Roman" w:hAnsi="Times New Roman"/>
                      <w:color w:val="000000"/>
                      <w:kern w:val="0"/>
                      <w:szCs w:val="21"/>
                    </w:rPr>
                    <w:t>6</w:t>
                  </w:r>
                </w:p>
              </w:tc>
            </w:tr>
            <w:tr>
              <w:tblPrEx>
                <w:tblCellMar>
                  <w:top w:w="0" w:type="dxa"/>
                  <w:left w:w="108" w:type="dxa"/>
                  <w:bottom w:w="0" w:type="dxa"/>
                  <w:right w:w="108" w:type="dxa"/>
                </w:tblCellMar>
              </w:tblPrEx>
              <w:trPr>
                <w:gridAfter w:val="1"/>
                <w:wAfter w:w="552" w:type="dxa"/>
                <w:trHeight w:val="2463" w:hRule="atLeast"/>
              </w:trPr>
              <w:tc>
                <w:tcPr>
                  <w:tcW w:w="373" w:type="dxa"/>
                  <w:tcBorders>
                    <w:top w:val="nil"/>
                    <w:left w:val="single" w:color="auto" w:sz="4" w:space="0"/>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模块名</w:t>
                  </w:r>
                </w:p>
              </w:tc>
              <w:tc>
                <w:tcPr>
                  <w:tcW w:w="453" w:type="dxa"/>
                  <w:tcBorders>
                    <w:top w:val="nil"/>
                    <w:left w:val="nil"/>
                    <w:bottom w:val="single" w:color="auto" w:sz="4" w:space="0"/>
                    <w:right w:val="single" w:color="auto" w:sz="4" w:space="0"/>
                  </w:tcBorders>
                  <w:shd w:val="clear" w:color="000000" w:fill="FFFFFF"/>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模块毕业最低学分</w:t>
                  </w:r>
                </w:p>
              </w:tc>
              <w:tc>
                <w:tcPr>
                  <w:tcW w:w="716"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模块国家开放大学考试最低学分</w:t>
                  </w:r>
                </w:p>
              </w:tc>
              <w:tc>
                <w:tcPr>
                  <w:tcW w:w="462" w:type="dxa"/>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模块设置最低学分</w:t>
                  </w:r>
                </w:p>
              </w:tc>
              <w:tc>
                <w:tcPr>
                  <w:tcW w:w="450"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序号</w:t>
                  </w:r>
                </w:p>
              </w:tc>
              <w:tc>
                <w:tcPr>
                  <w:tcW w:w="678"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课程</w:t>
                  </w:r>
                </w:p>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代码</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课程名称</w:t>
                  </w:r>
                </w:p>
              </w:tc>
              <w:tc>
                <w:tcPr>
                  <w:tcW w:w="442"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学分</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课程</w:t>
                  </w:r>
                </w:p>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类型</w:t>
                  </w:r>
                </w:p>
              </w:tc>
              <w:tc>
                <w:tcPr>
                  <w:tcW w:w="542"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课程</w:t>
                  </w:r>
                </w:p>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性质</w:t>
                  </w:r>
                </w:p>
              </w:tc>
              <w:tc>
                <w:tcPr>
                  <w:tcW w:w="435"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建议开设学期</w:t>
                  </w:r>
                </w:p>
              </w:tc>
              <w:tc>
                <w:tcPr>
                  <w:tcW w:w="577"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Times New Roman" w:hAnsi="Times New Roman"/>
                      <w:color w:val="000000"/>
                      <w:kern w:val="0"/>
                      <w:sz w:val="18"/>
                      <w:szCs w:val="18"/>
                    </w:rPr>
                  </w:pPr>
                  <w:r>
                    <w:rPr>
                      <w:rFonts w:ascii="Times New Roman" w:hAnsi="Times New Roman"/>
                      <w:color w:val="000000"/>
                      <w:kern w:val="0"/>
                      <w:sz w:val="18"/>
                      <w:szCs w:val="18"/>
                    </w:rPr>
                    <w:t>考试单位</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思</w:t>
                  </w:r>
                </w:p>
                <w:p>
                  <w:pPr>
                    <w:widowControl/>
                    <w:jc w:val="left"/>
                    <w:rPr>
                      <w:rFonts w:ascii="Times New Roman" w:hAnsi="Times New Roman"/>
                      <w:color w:val="000000"/>
                      <w:kern w:val="0"/>
                      <w:sz w:val="18"/>
                      <w:szCs w:val="18"/>
                    </w:rPr>
                  </w:pPr>
                  <w:r>
                    <w:rPr>
                      <w:rFonts w:ascii="Times New Roman" w:hAnsi="Times New Roman"/>
                      <w:color w:val="000000"/>
                      <w:kern w:val="0"/>
                      <w:sz w:val="18"/>
                      <w:szCs w:val="18"/>
                    </w:rPr>
                    <w:t>想</w:t>
                  </w:r>
                </w:p>
                <w:p>
                  <w:pPr>
                    <w:widowControl/>
                    <w:jc w:val="left"/>
                    <w:rPr>
                      <w:rFonts w:ascii="Times New Roman" w:hAnsi="Times New Roman"/>
                      <w:color w:val="000000"/>
                      <w:kern w:val="0"/>
                      <w:sz w:val="18"/>
                      <w:szCs w:val="18"/>
                    </w:rPr>
                  </w:pPr>
                  <w:r>
                    <w:rPr>
                      <w:rFonts w:ascii="Times New Roman" w:hAnsi="Times New Roman"/>
                      <w:color w:val="000000"/>
                      <w:kern w:val="0"/>
                      <w:sz w:val="18"/>
                      <w:szCs w:val="18"/>
                    </w:rPr>
                    <w:t>政</w:t>
                  </w:r>
                </w:p>
                <w:p>
                  <w:pPr>
                    <w:widowControl/>
                    <w:jc w:val="left"/>
                    <w:rPr>
                      <w:rFonts w:ascii="Times New Roman" w:hAnsi="Times New Roman"/>
                      <w:color w:val="000000"/>
                      <w:kern w:val="0"/>
                      <w:sz w:val="18"/>
                      <w:szCs w:val="18"/>
                    </w:rPr>
                  </w:pPr>
                  <w:r>
                    <w:rPr>
                      <w:rFonts w:ascii="Times New Roman" w:hAnsi="Times New Roman"/>
                      <w:color w:val="000000"/>
                      <w:kern w:val="0"/>
                      <w:sz w:val="18"/>
                      <w:szCs w:val="18"/>
                    </w:rPr>
                    <w:t>治</w:t>
                  </w:r>
                </w:p>
                <w:p>
                  <w:pPr>
                    <w:jc w:val="left"/>
                    <w:rPr>
                      <w:rFonts w:ascii="Times New Roman" w:hAnsi="Times New Roman"/>
                      <w:color w:val="000000"/>
                      <w:kern w:val="0"/>
                      <w:sz w:val="18"/>
                      <w:szCs w:val="18"/>
                    </w:rPr>
                  </w:pPr>
                  <w:r>
                    <w:rPr>
                      <w:rFonts w:ascii="Times New Roman" w:hAnsi="Times New Roman"/>
                      <w:color w:val="000000"/>
                      <w:kern w:val="0"/>
                      <w:sz w:val="18"/>
                      <w:szCs w:val="18"/>
                    </w:rPr>
                    <w:t>课</w:t>
                  </w:r>
                </w:p>
              </w:tc>
              <w:tc>
                <w:tcPr>
                  <w:tcW w:w="453"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8</w:t>
                  </w:r>
                </w:p>
              </w:tc>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8</w:t>
                  </w:r>
                </w:p>
              </w:tc>
              <w:tc>
                <w:tcPr>
                  <w:tcW w:w="462"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10</w:t>
                  </w: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color w:val="000000"/>
                      <w:kern w:val="0"/>
                      <w:sz w:val="18"/>
                      <w:szCs w:val="18"/>
                    </w:rPr>
                    <w:t>1</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4391</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习近平新时代中国特色社会主义思想</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widowControl/>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color w:val="000000"/>
                      <w:kern w:val="0"/>
                      <w:sz w:val="18"/>
                      <w:szCs w:val="18"/>
                    </w:rPr>
                    <w:t>2</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4390</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中国近现代史纲要</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widowControl/>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color w:val="000000"/>
                      <w:kern w:val="0"/>
                      <w:sz w:val="18"/>
                      <w:szCs w:val="18"/>
                    </w:rPr>
                    <w:t>3</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2902</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民族理论与民族政策</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bottom w:val="single" w:color="auto" w:sz="4" w:space="0"/>
                    <w:right w:val="single" w:color="auto" w:sz="4" w:space="0"/>
                  </w:tcBorders>
                  <w:shd w:val="clear" w:color="auto" w:fill="auto"/>
                  <w:vAlign w:val="center"/>
                </w:tcPr>
                <w:p>
                  <w:pPr>
                    <w:jc w:val="left"/>
                    <w:rPr>
                      <w:rFonts w:ascii="Times New Roman" w:hAnsi="Times New Roman"/>
                      <w:color w:val="000000"/>
                      <w:kern w:val="0"/>
                      <w:sz w:val="18"/>
                      <w:szCs w:val="18"/>
                    </w:rPr>
                  </w:pPr>
                </w:p>
              </w:tc>
              <w:tc>
                <w:tcPr>
                  <w:tcW w:w="453" w:type="dxa"/>
                  <w:vMerge w:val="continue"/>
                  <w:tcBorders>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kern w:val="0"/>
                      <w:sz w:val="18"/>
                      <w:szCs w:val="18"/>
                    </w:rPr>
                  </w:pPr>
                </w:p>
              </w:tc>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462"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color w:val="000000"/>
                      <w:kern w:val="0"/>
                      <w:sz w:val="18"/>
                      <w:szCs w:val="18"/>
                    </w:rPr>
                    <w:t>4</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4384</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马克思主义基本原理概论</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公</w:t>
                  </w:r>
                </w:p>
                <w:p>
                  <w:pPr>
                    <w:widowControl/>
                    <w:jc w:val="left"/>
                    <w:rPr>
                      <w:rFonts w:ascii="Times New Roman" w:hAnsi="Times New Roman"/>
                      <w:color w:val="000000"/>
                      <w:kern w:val="0"/>
                      <w:sz w:val="18"/>
                      <w:szCs w:val="18"/>
                    </w:rPr>
                  </w:pPr>
                  <w:r>
                    <w:rPr>
                      <w:rFonts w:ascii="Times New Roman" w:hAnsi="Times New Roman"/>
                      <w:color w:val="000000"/>
                      <w:kern w:val="0"/>
                      <w:sz w:val="18"/>
                      <w:szCs w:val="18"/>
                    </w:rPr>
                    <w:t>共</w:t>
                  </w:r>
                </w:p>
                <w:p>
                  <w:pPr>
                    <w:widowControl/>
                    <w:jc w:val="left"/>
                    <w:rPr>
                      <w:rFonts w:ascii="Times New Roman" w:hAnsi="Times New Roman"/>
                      <w:color w:val="000000"/>
                      <w:kern w:val="0"/>
                      <w:sz w:val="18"/>
                      <w:szCs w:val="18"/>
                    </w:rPr>
                  </w:pPr>
                  <w:r>
                    <w:rPr>
                      <w:rFonts w:ascii="Times New Roman" w:hAnsi="Times New Roman"/>
                      <w:color w:val="000000"/>
                      <w:kern w:val="0"/>
                      <w:sz w:val="18"/>
                      <w:szCs w:val="18"/>
                    </w:rPr>
                    <w:t>基</w:t>
                  </w:r>
                </w:p>
                <w:p>
                  <w:pPr>
                    <w:widowControl/>
                    <w:jc w:val="left"/>
                    <w:rPr>
                      <w:rFonts w:ascii="Times New Roman" w:hAnsi="Times New Roman"/>
                      <w:color w:val="000000"/>
                      <w:kern w:val="0"/>
                      <w:sz w:val="18"/>
                      <w:szCs w:val="18"/>
                    </w:rPr>
                  </w:pPr>
                  <w:r>
                    <w:rPr>
                      <w:rFonts w:ascii="Times New Roman" w:hAnsi="Times New Roman"/>
                      <w:color w:val="000000"/>
                      <w:kern w:val="0"/>
                      <w:sz w:val="18"/>
                      <w:szCs w:val="18"/>
                    </w:rPr>
                    <w:t>础</w:t>
                  </w:r>
                </w:p>
                <w:p>
                  <w:pPr>
                    <w:jc w:val="left"/>
                    <w:rPr>
                      <w:rFonts w:ascii="Times New Roman" w:hAnsi="Times New Roman"/>
                      <w:color w:val="000000"/>
                      <w:kern w:val="0"/>
                      <w:sz w:val="18"/>
                      <w:szCs w:val="18"/>
                    </w:rPr>
                  </w:pPr>
                  <w:r>
                    <w:rPr>
                      <w:rFonts w:ascii="Times New Roman" w:hAnsi="Times New Roman"/>
                      <w:color w:val="000000"/>
                      <w:kern w:val="0"/>
                      <w:sz w:val="18"/>
                      <w:szCs w:val="18"/>
                    </w:rPr>
                    <w:t>课</w:t>
                  </w:r>
                </w:p>
              </w:tc>
              <w:tc>
                <w:tcPr>
                  <w:tcW w:w="453"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5</w:t>
                  </w:r>
                </w:p>
              </w:tc>
              <w:tc>
                <w:tcPr>
                  <w:tcW w:w="71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5</w:t>
                  </w:r>
                </w:p>
              </w:tc>
              <w:tc>
                <w:tcPr>
                  <w:tcW w:w="46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12</w:t>
                  </w: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5</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2970</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国家开放大学学习指南</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1</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6</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808</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计算机应用基础(本)</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7</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highlight w:val="yellow"/>
                    </w:rPr>
                  </w:pPr>
                  <w:r>
                    <w:rPr>
                      <w:rFonts w:ascii="Times New Roman" w:hAnsi="Times New Roman"/>
                      <w:kern w:val="0"/>
                      <w:sz w:val="18"/>
                      <w:szCs w:val="18"/>
                    </w:rPr>
                    <w:t>1750</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olor w:val="FF0000"/>
                      <w:kern w:val="0"/>
                      <w:sz w:val="18"/>
                      <w:szCs w:val="18"/>
                      <w:highlight w:val="yellow"/>
                    </w:rPr>
                  </w:pPr>
                  <w:r>
                    <w:rPr>
                      <w:rFonts w:ascii="Times New Roman" w:hAnsi="Times New Roman"/>
                      <w:kern w:val="0"/>
                      <w:sz w:val="18"/>
                      <w:szCs w:val="18"/>
                    </w:rPr>
                    <w:t>学位论文指南</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highlight w:val="yellow"/>
                    </w:rPr>
                  </w:pPr>
                  <w:r>
                    <w:rPr>
                      <w:rFonts w:ascii="Times New Roman" w:hAnsi="Times New Roman"/>
                      <w:kern w:val="0"/>
                      <w:sz w:val="18"/>
                      <w:szCs w:val="18"/>
                    </w:rPr>
                    <w:t>7</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highlight w:val="yellow"/>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color w:val="FF0000"/>
                      <w:kern w:val="0"/>
                      <w:sz w:val="18"/>
                      <w:szCs w:val="18"/>
                      <w:highlight w:val="yellow"/>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highlight w:val="yellow"/>
                    </w:rPr>
                  </w:pPr>
                  <w:r>
                    <w:rPr>
                      <w:rFonts w:ascii="Times New Roman" w:hAnsi="Times New Roman"/>
                      <w:kern w:val="0"/>
                      <w:sz w:val="18"/>
                      <w:szCs w:val="18"/>
                    </w:rPr>
                    <w:t>5</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highlight w:val="yellow"/>
                    </w:rPr>
                  </w:pPr>
                  <w:r>
                    <w:rPr>
                      <w:rFonts w:ascii="Times New Roman" w:hAnsi="Times New Roman"/>
                      <w:kern w:val="0"/>
                      <w:sz w:val="18"/>
                      <w:szCs w:val="18"/>
                    </w:rPr>
                    <w:t>总部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8</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highlight w:val="yellow"/>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学位外语（</w:t>
                  </w:r>
                  <w:r>
                    <w:rPr>
                      <w:rFonts w:hint="eastAsia" w:ascii="Times New Roman" w:hAnsi="Times New Roman"/>
                      <w:kern w:val="0"/>
                      <w:sz w:val="18"/>
                      <w:szCs w:val="18"/>
                    </w:rPr>
                    <w:t>车辆）</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0</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非统设</w:t>
                  </w:r>
                </w:p>
              </w:tc>
              <w:tc>
                <w:tcPr>
                  <w:tcW w:w="542"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5</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color w:val="000000"/>
                      <w:kern w:val="0"/>
                      <w:sz w:val="18"/>
                      <w:szCs w:val="18"/>
                    </w:rPr>
                    <w:t>公</w:t>
                  </w:r>
                  <w:r>
                    <w:rPr>
                      <w:rFonts w:hint="eastAsia" w:ascii="Times New Roman" w:hAnsi="Times New Roman"/>
                      <w:color w:val="000000"/>
                      <w:kern w:val="0"/>
                      <w:sz w:val="18"/>
                      <w:szCs w:val="18"/>
                    </w:rPr>
                    <w:br w:type="textWrapping"/>
                  </w:r>
                  <w:r>
                    <w:rPr>
                      <w:rFonts w:hint="eastAsia" w:ascii="Times New Roman" w:hAnsi="Times New Roman"/>
                      <w:color w:val="000000"/>
                      <w:kern w:val="0"/>
                      <w:sz w:val="18"/>
                      <w:szCs w:val="18"/>
                    </w:rPr>
                    <w:t>共</w:t>
                  </w:r>
                  <w:r>
                    <w:rPr>
                      <w:rFonts w:hint="eastAsia" w:ascii="Times New Roman" w:hAnsi="Times New Roman"/>
                      <w:color w:val="000000"/>
                      <w:kern w:val="0"/>
                      <w:sz w:val="18"/>
                      <w:szCs w:val="18"/>
                    </w:rPr>
                    <w:br w:type="textWrapping"/>
                  </w:r>
                  <w:r>
                    <w:rPr>
                      <w:rFonts w:hint="eastAsia" w:ascii="Times New Roman" w:hAnsi="Times New Roman"/>
                      <w:color w:val="000000"/>
                      <w:kern w:val="0"/>
                      <w:sz w:val="18"/>
                      <w:szCs w:val="18"/>
                    </w:rPr>
                    <w:t>英</w:t>
                  </w:r>
                  <w:r>
                    <w:rPr>
                      <w:rFonts w:hint="eastAsia" w:ascii="Times New Roman" w:hAnsi="Times New Roman"/>
                      <w:color w:val="000000"/>
                      <w:kern w:val="0"/>
                      <w:sz w:val="18"/>
                      <w:szCs w:val="18"/>
                    </w:rPr>
                    <w:br w:type="textWrapping"/>
                  </w:r>
                  <w:r>
                    <w:rPr>
                      <w:rFonts w:hint="eastAsia" w:ascii="Times New Roman" w:hAnsi="Times New Roman"/>
                      <w:color w:val="000000"/>
                      <w:kern w:val="0"/>
                      <w:sz w:val="18"/>
                      <w:szCs w:val="18"/>
                    </w:rPr>
                    <w:t>语</w:t>
                  </w:r>
                  <w:r>
                    <w:rPr>
                      <w:rFonts w:hint="eastAsia" w:ascii="Times New Roman" w:hAnsi="Times New Roman"/>
                      <w:color w:val="000000"/>
                      <w:kern w:val="0"/>
                      <w:sz w:val="18"/>
                      <w:szCs w:val="18"/>
                    </w:rPr>
                    <w:br w:type="textWrapping"/>
                  </w:r>
                  <w:r>
                    <w:rPr>
                      <w:rFonts w:hint="eastAsia" w:ascii="Times New Roman" w:hAnsi="Times New Roman"/>
                      <w:color w:val="000000"/>
                      <w:kern w:val="0"/>
                      <w:sz w:val="18"/>
                      <w:szCs w:val="18"/>
                    </w:rPr>
                    <w:t>课</w:t>
                  </w:r>
                </w:p>
              </w:tc>
              <w:tc>
                <w:tcPr>
                  <w:tcW w:w="453" w:type="dxa"/>
                  <w:vMerge w:val="restart"/>
                  <w:tcBorders>
                    <w:top w:val="single" w:color="auto" w:sz="4" w:space="0"/>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6</w:t>
                  </w:r>
                </w:p>
              </w:tc>
              <w:tc>
                <w:tcPr>
                  <w:tcW w:w="716" w:type="dxa"/>
                  <w:vMerge w:val="restart"/>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6</w:t>
                  </w:r>
                </w:p>
              </w:tc>
              <w:tc>
                <w:tcPr>
                  <w:tcW w:w="462" w:type="dxa"/>
                  <w:vMerge w:val="restart"/>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30</w:t>
                  </w: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9</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4019</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管理英语3</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kern w:val="0"/>
                      <w:sz w:val="18"/>
                      <w:szCs w:val="18"/>
                    </w:rPr>
                    <w:t>10</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4020</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管理英语4</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11</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ascii="Times New Roman" w:hAnsi="Times New Roman"/>
                      <w:color w:val="000000"/>
                      <w:kern w:val="0"/>
                      <w:sz w:val="18"/>
                      <w:szCs w:val="18"/>
                    </w:rPr>
                    <w:t>4003</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开放英语</w:t>
                  </w:r>
                  <w:r>
                    <w:rPr>
                      <w:rFonts w:ascii="Times New Roman" w:hAnsi="Times New Roman"/>
                      <w:color w:val="000000"/>
                      <w:kern w:val="0"/>
                      <w:sz w:val="18"/>
                      <w:szCs w:val="18"/>
                    </w:rPr>
                    <w:t>3</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分</w:t>
                  </w:r>
                  <w:r>
                    <w:rPr>
                      <w:rFonts w:ascii="Times New Roman" w:hAnsi="Times New Roman"/>
                      <w:color w:val="000000"/>
                      <w:kern w:val="0"/>
                      <w:sz w:val="18"/>
                      <w:szCs w:val="18"/>
                    </w:rPr>
                    <w:t>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12</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ascii="Times New Roman" w:hAnsi="Times New Roman"/>
                      <w:color w:val="000000"/>
                      <w:kern w:val="0"/>
                      <w:sz w:val="18"/>
                      <w:szCs w:val="18"/>
                    </w:rPr>
                    <w:t>4004</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开放英语</w:t>
                  </w:r>
                  <w:r>
                    <w:rPr>
                      <w:rFonts w:ascii="Times New Roman" w:hAnsi="Times New Roman"/>
                      <w:color w:val="000000"/>
                      <w:kern w:val="0"/>
                      <w:sz w:val="18"/>
                      <w:szCs w:val="18"/>
                    </w:rPr>
                    <w:t>4</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分</w:t>
                  </w:r>
                  <w:r>
                    <w:rPr>
                      <w:rFonts w:ascii="Times New Roman" w:hAnsi="Times New Roman"/>
                      <w:color w:val="000000"/>
                      <w:kern w:val="0"/>
                      <w:sz w:val="18"/>
                      <w:szCs w:val="18"/>
                    </w:rPr>
                    <w:t>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13</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4007</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理工英语3</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14</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4008</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理工英语4</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15</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4015</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人文英语3</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16</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4016</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人文英语4</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17</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4011</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商务英语3</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18</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4012</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商务英语4</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kern w:val="0"/>
                      <w:sz w:val="18"/>
                      <w:szCs w:val="18"/>
                    </w:rPr>
                    <w:t>19</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4019</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管理英语3</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bottom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kern w:val="0"/>
                      <w:sz w:val="18"/>
                      <w:szCs w:val="18"/>
                    </w:rPr>
                    <w:t>20</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4020</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FF0000"/>
                      <w:sz w:val="18"/>
                      <w:szCs w:val="18"/>
                      <w:highlight w:val="yellow"/>
                    </w:rPr>
                  </w:pPr>
                  <w:r>
                    <w:rPr>
                      <w:rFonts w:hint="eastAsia" w:ascii="Times New Roman" w:hAnsi="Times New Roman"/>
                      <w:color w:val="000000"/>
                      <w:kern w:val="0"/>
                      <w:sz w:val="18"/>
                      <w:szCs w:val="18"/>
                    </w:rPr>
                    <w:t>管理英语4</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highlight w:val="yellow"/>
                    </w:rPr>
                  </w:pPr>
                  <w:r>
                    <w:rPr>
                      <w:rFonts w:hint="eastAsia"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sz w:val="18"/>
                      <w:szCs w:val="18"/>
                    </w:rPr>
                  </w:pPr>
                  <w:r>
                    <w:rPr>
                      <w:rFonts w:hint="eastAsia" w:ascii="Times New Roman" w:hAnsi="Times New Roman"/>
                      <w:color w:val="000000"/>
                      <w:kern w:val="0"/>
                      <w:sz w:val="18"/>
                      <w:szCs w:val="18"/>
                    </w:rPr>
                    <w:t>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FF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专</w:t>
                  </w:r>
                </w:p>
                <w:p>
                  <w:pPr>
                    <w:widowControl/>
                    <w:jc w:val="left"/>
                    <w:rPr>
                      <w:rFonts w:ascii="Times New Roman" w:hAnsi="Times New Roman"/>
                      <w:kern w:val="0"/>
                      <w:sz w:val="18"/>
                      <w:szCs w:val="18"/>
                    </w:rPr>
                  </w:pPr>
                  <w:r>
                    <w:rPr>
                      <w:rFonts w:ascii="Times New Roman" w:hAnsi="Times New Roman"/>
                      <w:kern w:val="0"/>
                      <w:sz w:val="18"/>
                      <w:szCs w:val="18"/>
                    </w:rPr>
                    <w:t>业</w:t>
                  </w:r>
                </w:p>
                <w:p>
                  <w:pPr>
                    <w:widowControl/>
                    <w:jc w:val="left"/>
                    <w:rPr>
                      <w:rFonts w:ascii="Times New Roman" w:hAnsi="Times New Roman"/>
                      <w:kern w:val="0"/>
                      <w:sz w:val="18"/>
                      <w:szCs w:val="18"/>
                    </w:rPr>
                  </w:pPr>
                  <w:r>
                    <w:rPr>
                      <w:rFonts w:ascii="Times New Roman" w:hAnsi="Times New Roman"/>
                      <w:kern w:val="0"/>
                      <w:sz w:val="18"/>
                      <w:szCs w:val="18"/>
                    </w:rPr>
                    <w:t>基</w:t>
                  </w:r>
                </w:p>
                <w:p>
                  <w:pPr>
                    <w:widowControl/>
                    <w:jc w:val="left"/>
                    <w:rPr>
                      <w:rFonts w:ascii="Times New Roman" w:hAnsi="Times New Roman"/>
                      <w:kern w:val="0"/>
                      <w:sz w:val="18"/>
                      <w:szCs w:val="18"/>
                    </w:rPr>
                  </w:pPr>
                  <w:r>
                    <w:rPr>
                      <w:rFonts w:ascii="Times New Roman" w:hAnsi="Times New Roman"/>
                      <w:kern w:val="0"/>
                      <w:sz w:val="18"/>
                      <w:szCs w:val="18"/>
                    </w:rPr>
                    <w:t>础</w:t>
                  </w:r>
                </w:p>
                <w:p>
                  <w:pPr>
                    <w:jc w:val="left"/>
                    <w:rPr>
                      <w:rFonts w:ascii="Times New Roman" w:hAnsi="Times New Roman"/>
                      <w:kern w:val="0"/>
                      <w:sz w:val="18"/>
                      <w:szCs w:val="18"/>
                    </w:rPr>
                  </w:pPr>
                  <w:r>
                    <w:rPr>
                      <w:rFonts w:ascii="Times New Roman" w:hAnsi="Times New Roman"/>
                      <w:kern w:val="0"/>
                      <w:sz w:val="18"/>
                      <w:szCs w:val="18"/>
                    </w:rPr>
                    <w:t>课</w:t>
                  </w:r>
                </w:p>
              </w:tc>
              <w:tc>
                <w:tcPr>
                  <w:tcW w:w="453" w:type="dxa"/>
                  <w:vMerge w:val="restart"/>
                  <w:tcBorders>
                    <w:top w:val="single" w:color="auto" w:sz="4" w:space="0"/>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11</w:t>
                  </w:r>
                </w:p>
              </w:tc>
              <w:tc>
                <w:tcPr>
                  <w:tcW w:w="716" w:type="dxa"/>
                  <w:vMerge w:val="restart"/>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11</w:t>
                  </w:r>
                </w:p>
              </w:tc>
              <w:tc>
                <w:tcPr>
                  <w:tcW w:w="462" w:type="dxa"/>
                  <w:vMerge w:val="restart"/>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30</w:t>
                  </w: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21</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713</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机电控制工程基础</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widowControl/>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22</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1774</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液压气动技术</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23</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热工与流体力学基础</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必修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总</w:t>
                  </w:r>
                  <w:r>
                    <w:rPr>
                      <w:rFonts w:ascii="Times New Roman" w:hAnsi="Times New Roman"/>
                      <w:color w:val="000000" w:themeColor="text1"/>
                      <w:sz w:val="18"/>
                      <w:szCs w:val="18"/>
                      <w14:textFill>
                        <w14:solidFill>
                          <w14:schemeClr w14:val="tx1"/>
                        </w14:solidFill>
                      </w14:textFill>
                    </w:rPr>
                    <w:t>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24</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hint="eastAsia" w:ascii="Times New Roman" w:hAnsi="Times New Roman"/>
                      <w:color w:val="000000"/>
                      <w:kern w:val="0"/>
                      <w:sz w:val="18"/>
                      <w:szCs w:val="18"/>
                    </w:rPr>
                    <w:t>4149</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机械原理（本）</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25</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4092</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机械设计基础（本）</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26</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4059</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工程力学</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27</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784</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计算机绘图（本）</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623" w:hRule="atLeast"/>
              </w:trPr>
              <w:tc>
                <w:tcPr>
                  <w:tcW w:w="373" w:type="dxa"/>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716" w:type="dxa"/>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62" w:type="dxa"/>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28</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236</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FF0000"/>
                      <w:sz w:val="18"/>
                      <w:szCs w:val="18"/>
                    </w:rPr>
                  </w:pPr>
                  <w:r>
                    <w:rPr>
                      <w:rFonts w:ascii="Times New Roman" w:hAnsi="Times New Roman"/>
                      <w:color w:val="000000" w:themeColor="text1"/>
                      <w:sz w:val="18"/>
                      <w:szCs w:val="18"/>
                      <w14:textFill>
                        <w14:solidFill>
                          <w14:schemeClr w14:val="tx1"/>
                        </w14:solidFill>
                      </w14:textFill>
                    </w:rPr>
                    <w:t>传感器与测试技术</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sz w:val="18"/>
                      <w:szCs w:val="18"/>
                    </w:rPr>
                  </w:pPr>
                  <w:r>
                    <w:rPr>
                      <w:rFonts w:hint="eastAsia" w:ascii="Times New Roman" w:hAnsi="Times New Roman"/>
                      <w:color w:val="000000" w:themeColor="text1"/>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sz w:val="18"/>
                      <w:szCs w:val="18"/>
                    </w:rPr>
                  </w:pPr>
                  <w:r>
                    <w:rPr>
                      <w:rFonts w:ascii="Times New Roman" w:hAnsi="Times New Roman"/>
                      <w:color w:val="000000" w:themeColor="text1"/>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sz w:val="18"/>
                      <w:szCs w:val="18"/>
                    </w:rPr>
                  </w:pPr>
                  <w:r>
                    <w:rPr>
                      <w:rFonts w:ascii="Times New Roman" w:hAnsi="Times New Roman"/>
                      <w:color w:val="000000" w:themeColor="text1"/>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sz w:val="18"/>
                      <w:szCs w:val="18"/>
                    </w:rPr>
                  </w:pPr>
                  <w:r>
                    <w:rPr>
                      <w:rFonts w:ascii="Times New Roman" w:hAnsi="Times New Roman"/>
                      <w:color w:val="000000" w:themeColor="text1"/>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sz w:val="18"/>
                      <w:szCs w:val="18"/>
                    </w:rPr>
                  </w:pPr>
                  <w:r>
                    <w:rPr>
                      <w:rFonts w:ascii="Times New Roman" w:hAnsi="Times New Roman"/>
                      <w:color w:val="000000" w:themeColor="text1"/>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kern w:val="0"/>
                      <w:sz w:val="18"/>
                      <w:szCs w:val="18"/>
                    </w:rPr>
                  </w:pPr>
                  <w:r>
                    <w:rPr>
                      <w:rFonts w:ascii="Times New Roman" w:hAnsi="Times New Roman"/>
                      <w:color w:val="000000"/>
                      <w:kern w:val="0"/>
                      <w:sz w:val="18"/>
                      <w:szCs w:val="18"/>
                    </w:rPr>
                    <w:t>专业课</w:t>
                  </w:r>
                </w:p>
              </w:tc>
              <w:tc>
                <w:tcPr>
                  <w:tcW w:w="453"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19</w:t>
                  </w:r>
                </w:p>
              </w:tc>
              <w:tc>
                <w:tcPr>
                  <w:tcW w:w="71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16</w:t>
                  </w:r>
                </w:p>
              </w:tc>
              <w:tc>
                <w:tcPr>
                  <w:tcW w:w="46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kern w:val="0"/>
                      <w:sz w:val="18"/>
                      <w:szCs w:val="18"/>
                    </w:rPr>
                  </w:pPr>
                  <w:r>
                    <w:rPr>
                      <w:rFonts w:ascii="Times New Roman" w:hAnsi="Times New Roman"/>
                      <w:color w:val="000000"/>
                      <w:kern w:val="0"/>
                      <w:sz w:val="18"/>
                      <w:szCs w:val="18"/>
                    </w:rPr>
                    <w:t>42</w:t>
                  </w: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29</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汽车发动机</w:t>
                  </w:r>
                  <w:r>
                    <w:rPr>
                      <w:rFonts w:hint="eastAsia" w:ascii="Times New Roman" w:hAnsi="Times New Roman"/>
                      <w:color w:val="000000" w:themeColor="text1"/>
                      <w:kern w:val="0"/>
                      <w:sz w:val="18"/>
                      <w:szCs w:val="18"/>
                      <w14:textFill>
                        <w14:solidFill>
                          <w14:schemeClr w14:val="tx1"/>
                        </w14:solidFill>
                      </w14:textFill>
                    </w:rPr>
                    <w:t>原理</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必修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总</w:t>
                  </w:r>
                  <w:r>
                    <w:rPr>
                      <w:rFonts w:ascii="Times New Roman" w:hAnsi="Times New Roman"/>
                      <w:color w:val="000000" w:themeColor="text1"/>
                      <w:kern w:val="0"/>
                      <w:sz w:val="18"/>
                      <w:szCs w:val="18"/>
                      <w14:textFill>
                        <w14:solidFill>
                          <w14:schemeClr w14:val="tx1"/>
                        </w14:solidFill>
                      </w14:textFill>
                    </w:rPr>
                    <w:t>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30</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汽车理论</w:t>
                  </w:r>
                </w:p>
              </w:tc>
              <w:tc>
                <w:tcPr>
                  <w:tcW w:w="4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必修</w:t>
                  </w:r>
                </w:p>
              </w:tc>
              <w:tc>
                <w:tcPr>
                  <w:tcW w:w="43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31</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汽车制造工艺学</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必修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总</w:t>
                  </w:r>
                  <w:r>
                    <w:rPr>
                      <w:rFonts w:ascii="Times New Roman" w:hAnsi="Times New Roman"/>
                      <w:color w:val="000000" w:themeColor="text1"/>
                      <w:kern w:val="0"/>
                      <w:sz w:val="18"/>
                      <w:szCs w:val="18"/>
                      <w14:textFill>
                        <w14:solidFill>
                          <w14:schemeClr w14:val="tx1"/>
                        </w14:solidFill>
                      </w14:textFill>
                    </w:rPr>
                    <w:t>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32</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汽车设计</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必修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4</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shd w:val="clear" w:color="000000" w:fill="FFFFFF"/>
                  <w:vAlign w:val="center"/>
                </w:tcPr>
                <w:p>
                  <w:pPr>
                    <w:jc w:val="center"/>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33</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4055</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FF0000"/>
                      <w:sz w:val="18"/>
                      <w:szCs w:val="18"/>
                    </w:rPr>
                  </w:pPr>
                  <w:r>
                    <w:rPr>
                      <w:rFonts w:hint="eastAsia" w:ascii="Times New Roman" w:hAnsi="Times New Roman"/>
                      <w:kern w:val="0"/>
                      <w:sz w:val="18"/>
                      <w:szCs w:val="18"/>
                    </w:rPr>
                    <w:t>汽车构造（本）</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hint="eastAsia" w:ascii="Times New Roman" w:hAnsi="Times New Roman"/>
                      <w:kern w:val="0"/>
                      <w:sz w:val="18"/>
                      <w:szCs w:val="18"/>
                    </w:rPr>
                    <w:t>选</w:t>
                  </w:r>
                  <w:r>
                    <w:rPr>
                      <w:rFonts w:ascii="Times New Roman" w:hAnsi="Times New Roman"/>
                      <w:kern w:val="0"/>
                      <w:sz w:val="18"/>
                      <w:szCs w:val="18"/>
                    </w:rPr>
                    <w:t>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hint="eastAsia" w:ascii="Times New Roman" w:hAnsi="Times New Roman"/>
                      <w:kern w:val="0"/>
                      <w:sz w:val="18"/>
                      <w:szCs w:val="18"/>
                    </w:rPr>
                    <w:t>分</w:t>
                  </w:r>
                  <w:r>
                    <w:rPr>
                      <w:rFonts w:ascii="Times New Roman" w:hAnsi="Times New Roman"/>
                      <w:kern w:val="0"/>
                      <w:sz w:val="18"/>
                      <w:szCs w:val="18"/>
                    </w:rPr>
                    <w:t>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34</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4060</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新能源汽车技术</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4</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35</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4078</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汽车电器与电子控制技术</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36</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r>
                    <w:rPr>
                      <w:rFonts w:ascii="Times New Roman" w:hAnsi="Times New Roman"/>
                      <w:kern w:val="0"/>
                      <w:sz w:val="18"/>
                      <w:szCs w:val="18"/>
                    </w:rPr>
                    <w:t>4142</w:t>
                  </w: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汽车专业英语（本）</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选</w:t>
                  </w:r>
                  <w:r>
                    <w:rPr>
                      <w:rFonts w:ascii="Times New Roman" w:hAnsi="Times New Roman"/>
                      <w:kern w:val="0"/>
                      <w:sz w:val="18"/>
                      <w:szCs w:val="18"/>
                    </w:rPr>
                    <w:t>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分</w:t>
                  </w:r>
                  <w:r>
                    <w:rPr>
                      <w:rFonts w:ascii="Times New Roman" w:hAnsi="Times New Roman"/>
                      <w:kern w:val="0"/>
                      <w:sz w:val="18"/>
                      <w:szCs w:val="18"/>
                    </w:rPr>
                    <w:t>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37</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color w:val="FF0000"/>
                      <w:kern w:val="0"/>
                      <w:sz w:val="18"/>
                      <w:szCs w:val="18"/>
                      <w:highlight w:val="yellow"/>
                    </w:rPr>
                  </w:pPr>
                  <w:r>
                    <w:rPr>
                      <w:rFonts w:ascii="Times New Roman" w:hAnsi="Times New Roman"/>
                      <w:kern w:val="0"/>
                      <w:sz w:val="18"/>
                      <w:szCs w:val="18"/>
                    </w:rPr>
                    <w:t>4065</w:t>
                  </w: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color w:val="FF0000"/>
                      <w:kern w:val="0"/>
                      <w:sz w:val="18"/>
                      <w:szCs w:val="18"/>
                      <w:highlight w:val="yellow"/>
                    </w:rPr>
                  </w:pPr>
                  <w:r>
                    <w:rPr>
                      <w:rFonts w:hint="eastAsia" w:ascii="Times New Roman" w:hAnsi="Times New Roman"/>
                      <w:kern w:val="0"/>
                      <w:sz w:val="18"/>
                      <w:szCs w:val="18"/>
                    </w:rPr>
                    <w:t>汽车检测与故障诊断技术</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highlight w:val="yellow"/>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highlight w:val="yellow"/>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highlight w:val="yellow"/>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highlight w:val="yellow"/>
                    </w:rPr>
                  </w:pPr>
                  <w:r>
                    <w:rPr>
                      <w:rFonts w:ascii="Times New Roman" w:hAnsi="Times New Roman"/>
                      <w:kern w:val="0"/>
                      <w:sz w:val="18"/>
                      <w:szCs w:val="18"/>
                    </w:rPr>
                    <w:t>5</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highlight w:val="yellow"/>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38</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r>
                    <w:rPr>
                      <w:rFonts w:ascii="Times New Roman" w:hAnsi="Times New Roman"/>
                      <w:kern w:val="0"/>
                      <w:sz w:val="18"/>
                      <w:szCs w:val="18"/>
                    </w:rPr>
                    <w:t>4076</w:t>
                  </w: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汽车排放与噪声控制</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39</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r>
                    <w:rPr>
                      <w:rFonts w:ascii="Times New Roman" w:hAnsi="Times New Roman"/>
                      <w:kern w:val="0"/>
                      <w:sz w:val="18"/>
                      <w:szCs w:val="18"/>
                    </w:rPr>
                    <w:t>4375</w:t>
                  </w: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汽车服务工程</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kern w:val="0"/>
                      <w:sz w:val="18"/>
                      <w:szCs w:val="18"/>
                    </w:rPr>
                    <w:t>40</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r>
                    <w:rPr>
                      <w:rFonts w:ascii="Times New Roman" w:hAnsi="Times New Roman"/>
                      <w:kern w:val="0"/>
                      <w:sz w:val="18"/>
                      <w:szCs w:val="18"/>
                    </w:rPr>
                    <w:t>4072</w:t>
                  </w: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汽车服务信息系统</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41</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r>
                    <w:rPr>
                      <w:rFonts w:ascii="Times New Roman" w:hAnsi="Times New Roman"/>
                      <w:kern w:val="0"/>
                      <w:sz w:val="18"/>
                      <w:szCs w:val="18"/>
                    </w:rPr>
                    <w:t>3592</w:t>
                  </w: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ascii="Times New Roman" w:hAnsi="Times New Roman"/>
                      <w:kern w:val="0"/>
                      <w:sz w:val="18"/>
                      <w:szCs w:val="18"/>
                    </w:rPr>
                    <w:t>电气传动与调速系统</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分部</w:t>
                  </w:r>
                </w:p>
              </w:tc>
              <w:tc>
                <w:tcPr>
                  <w:tcW w:w="552" w:type="dxa"/>
                  <w:vAlign w:val="center"/>
                </w:tcPr>
                <w:p>
                  <w:pPr>
                    <w:widowControl/>
                    <w:jc w:val="center"/>
                    <w:rPr>
                      <w:rFonts w:cs="宋体"/>
                      <w:color w:val="FF0000"/>
                      <w:spacing w:val="-6"/>
                      <w:kern w:val="0"/>
                      <w:sz w:val="20"/>
                      <w:szCs w:val="20"/>
                    </w:rPr>
                  </w:pP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42</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汽车实验学</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非统设</w:t>
                  </w:r>
                </w:p>
              </w:tc>
              <w:tc>
                <w:tcPr>
                  <w:tcW w:w="5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43</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专用汽车</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非统设</w:t>
                  </w:r>
                </w:p>
              </w:tc>
              <w:tc>
                <w:tcPr>
                  <w:tcW w:w="5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44</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汽车动力学建模与控制</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非统设</w:t>
                  </w:r>
                </w:p>
              </w:tc>
              <w:tc>
                <w:tcPr>
                  <w:tcW w:w="5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45</w:t>
                  </w:r>
                </w:p>
              </w:tc>
              <w:tc>
                <w:tcPr>
                  <w:tcW w:w="67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FFFFFF" w:themeFill="background1"/>
                  <w:vAlign w:val="center"/>
                </w:tcPr>
                <w:p>
                  <w:pPr>
                    <w:widowControl/>
                    <w:jc w:val="left"/>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车辆人机工程学</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非统设</w:t>
                  </w:r>
                </w:p>
              </w:tc>
              <w:tc>
                <w:tcPr>
                  <w:tcW w:w="5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kern w:val="0"/>
                      <w:sz w:val="18"/>
                      <w:szCs w:val="18"/>
                    </w:rPr>
                  </w:pPr>
                </w:p>
              </w:tc>
              <w:tc>
                <w:tcPr>
                  <w:tcW w:w="453"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716"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62" w:type="dxa"/>
                  <w:vMerge w:val="continue"/>
                  <w:tcBorders>
                    <w:left w:val="single" w:color="auto" w:sz="4" w:space="0"/>
                    <w:right w:val="single" w:color="auto" w:sz="4" w:space="0"/>
                  </w:tcBorders>
                  <w:vAlign w:val="center"/>
                </w:tcPr>
                <w:p>
                  <w:pPr>
                    <w:jc w:val="center"/>
                    <w:rPr>
                      <w:rFonts w:ascii="Times New Roman" w:hAnsi="Times New Roman"/>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46</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车辆仿真技术</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非统设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专业拓展课</w:t>
                  </w:r>
                </w:p>
              </w:tc>
              <w:tc>
                <w:tcPr>
                  <w:tcW w:w="453"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716"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462"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w:t>
                  </w:r>
                  <w:r>
                    <w:rPr>
                      <w:rFonts w:hint="eastAsia" w:ascii="Times New Roman" w:hAnsi="Times New Roman"/>
                      <w:color w:val="000000"/>
                      <w:kern w:val="0"/>
                      <w:sz w:val="18"/>
                      <w:szCs w:val="18"/>
                    </w:rPr>
                    <w:t>7</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4138</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汽车保险与理赔（本）</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5</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w:t>
                  </w:r>
                  <w:r>
                    <w:rPr>
                      <w:rFonts w:hint="eastAsia" w:ascii="Times New Roman" w:hAnsi="Times New Roman"/>
                      <w:color w:val="000000"/>
                      <w:kern w:val="0"/>
                      <w:sz w:val="18"/>
                      <w:szCs w:val="18"/>
                    </w:rPr>
                    <w:t>8</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4141</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汽车电子商务（本）</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5</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w:t>
                  </w:r>
                  <w:r>
                    <w:rPr>
                      <w:rFonts w:hint="eastAsia" w:ascii="Times New Roman" w:hAnsi="Times New Roman"/>
                      <w:color w:val="000000"/>
                      <w:kern w:val="0"/>
                      <w:sz w:val="18"/>
                      <w:szCs w:val="18"/>
                    </w:rPr>
                    <w:t>9</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704</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机电控制与可编程序控制器技术</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50</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711</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机械CAD/CAM</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51</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707</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r>
                    <w:rPr>
                      <w:rFonts w:ascii="Times New Roman" w:hAnsi="Times New Roman"/>
                      <w:kern w:val="0"/>
                      <w:sz w:val="18"/>
                      <w:szCs w:val="18"/>
                    </w:rPr>
                    <w:t>机电一体化系统设计基础</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52</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3589</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r>
                    <w:rPr>
                      <w:rFonts w:ascii="Times New Roman" w:hAnsi="Times New Roman"/>
                      <w:kern w:val="0"/>
                      <w:sz w:val="18"/>
                      <w:szCs w:val="18"/>
                    </w:rPr>
                    <w:t>Matlab语言及其应用</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53</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3590</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r>
                    <w:rPr>
                      <w:rFonts w:ascii="Times New Roman" w:hAnsi="Times New Roman"/>
                      <w:kern w:val="0"/>
                      <w:sz w:val="18"/>
                      <w:szCs w:val="18"/>
                    </w:rPr>
                    <w:t>机器人技术及应用</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54</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3593</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机械制造装备及设计</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55</w:t>
                  </w:r>
                </w:p>
              </w:tc>
              <w:tc>
                <w:tcPr>
                  <w:tcW w:w="6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hint="eastAsia" w:ascii="Times New Roman" w:hAnsi="Times New Roman"/>
                      <w:kern w:val="0"/>
                      <w:sz w:val="18"/>
                      <w:szCs w:val="18"/>
                    </w:rPr>
                    <w:t>车联网技术基础</w:t>
                  </w:r>
                </w:p>
              </w:tc>
              <w:tc>
                <w:tcPr>
                  <w:tcW w:w="442"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非统设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56</w:t>
                  </w:r>
                </w:p>
              </w:tc>
              <w:tc>
                <w:tcPr>
                  <w:tcW w:w="6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无人驾驶车辆设计理论与方法</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非统设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57</w:t>
                  </w:r>
                </w:p>
              </w:tc>
              <w:tc>
                <w:tcPr>
                  <w:tcW w:w="6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电动汽车驱动电机原理及控制</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非统设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58</w:t>
                  </w:r>
                </w:p>
              </w:tc>
              <w:tc>
                <w:tcPr>
                  <w:tcW w:w="6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汽车新型传动技术</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非统设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930"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59</w:t>
                  </w:r>
                </w:p>
              </w:tc>
              <w:tc>
                <w:tcPr>
                  <w:tcW w:w="6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汽车主动转向技术</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非统设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通</w:t>
                  </w:r>
                </w:p>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识</w:t>
                  </w:r>
                </w:p>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课</w:t>
                  </w:r>
                </w:p>
              </w:tc>
              <w:tc>
                <w:tcPr>
                  <w:tcW w:w="453" w:type="dxa"/>
                  <w:vMerge w:val="restart"/>
                  <w:tcBorders>
                    <w:top w:val="single" w:color="auto" w:sz="4" w:space="0"/>
                    <w:left w:val="single" w:color="auto" w:sz="4" w:space="0"/>
                    <w:right w:val="single" w:color="auto" w:sz="4" w:space="0"/>
                  </w:tcBorders>
                  <w:shd w:val="clear" w:color="000000" w:fill="FFFFFF"/>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462"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14</w:t>
                  </w: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60</w:t>
                  </w:r>
                </w:p>
              </w:tc>
              <w:tc>
                <w:tcPr>
                  <w:tcW w:w="67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4392</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sz w:val="18"/>
                      <w:szCs w:val="18"/>
                    </w:rPr>
                  </w:pPr>
                  <w:r>
                    <w:rPr>
                      <w:rFonts w:ascii="Times New Roman" w:hAnsi="Times New Roman"/>
                      <w:sz w:val="18"/>
                      <w:szCs w:val="18"/>
                    </w:rPr>
                    <w:t>形势与政策</w:t>
                  </w:r>
                </w:p>
              </w:tc>
              <w:tc>
                <w:tcPr>
                  <w:tcW w:w="442"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sz w:val="18"/>
                    </w:rPr>
                  </w:pPr>
                  <w:r>
                    <w:rPr>
                      <w:rFonts w:ascii="Times New Roman" w:hAnsi="Times New Roman"/>
                      <w:sz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sz w:val="18"/>
                    </w:rPr>
                  </w:pPr>
                  <w:r>
                    <w:rPr>
                      <w:rFonts w:ascii="Times New Roman" w:hAnsi="Times New Roman"/>
                      <w:sz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sz w:val="18"/>
                    </w:rPr>
                  </w:pPr>
                  <w:r>
                    <w:rPr>
                      <w:rFonts w:ascii="Times New Roman" w:hAnsi="Times New Roman"/>
                      <w:sz w:val="18"/>
                    </w:rPr>
                    <w:t>必修</w:t>
                  </w:r>
                </w:p>
              </w:tc>
              <w:tc>
                <w:tcPr>
                  <w:tcW w:w="43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sz w:val="18"/>
                    </w:rPr>
                  </w:pPr>
                  <w:r>
                    <w:rPr>
                      <w:rFonts w:ascii="Times New Roman" w:hAnsi="Times New Roman"/>
                      <w:sz w:val="18"/>
                    </w:rPr>
                    <w:t>1-5</w:t>
                  </w:r>
                </w:p>
              </w:tc>
              <w:tc>
                <w:tcPr>
                  <w:tcW w:w="57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方正书宋简体"/>
                      <w:sz w:val="18"/>
                      <w:szCs w:val="18"/>
                    </w:rPr>
                  </w:pPr>
                  <w:r>
                    <w:rPr>
                      <w:rFonts w:ascii="Times New Roman" w:hAnsi="Times New Roman" w:eastAsia="方正书宋简体"/>
                      <w:sz w:val="18"/>
                      <w:szCs w:val="18"/>
                    </w:rPr>
                    <w:t>分部</w:t>
                  </w:r>
                </w:p>
              </w:tc>
            </w:tr>
            <w:tr>
              <w:tblPrEx>
                <w:tblCellMar>
                  <w:top w:w="0" w:type="dxa"/>
                  <w:left w:w="108" w:type="dxa"/>
                  <w:bottom w:w="0" w:type="dxa"/>
                  <w:right w:w="108" w:type="dxa"/>
                </w:tblCellMar>
              </w:tblPrEx>
              <w:trPr>
                <w:gridAfter w:val="1"/>
                <w:wAfter w:w="552" w:type="dxa"/>
                <w:trHeight w:val="650" w:hRule="atLeast"/>
              </w:trPr>
              <w:tc>
                <w:tcPr>
                  <w:tcW w:w="373"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53" w:type="dxa"/>
                  <w:vMerge w:val="continue"/>
                  <w:tcBorders>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kern w:val="0"/>
                      <w:sz w:val="18"/>
                      <w:szCs w:val="18"/>
                    </w:rPr>
                  </w:pPr>
                </w:p>
              </w:tc>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62"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61</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894" w:type="dxa"/>
                  <w:gridSpan w:val="7"/>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b/>
                      <w:color w:val="000000"/>
                      <w:kern w:val="0"/>
                      <w:sz w:val="18"/>
                      <w:szCs w:val="18"/>
                    </w:rPr>
                  </w:pPr>
                  <w:r>
                    <w:rPr>
                      <w:rFonts w:hint="eastAsia" w:eastAsia="方正书宋简体"/>
                      <w:b/>
                      <w:sz w:val="18"/>
                      <w:szCs w:val="18"/>
                    </w:rPr>
                    <w:t>其它课程见“通识课列表”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综合实践</w:t>
                  </w:r>
                </w:p>
              </w:tc>
              <w:tc>
                <w:tcPr>
                  <w:tcW w:w="45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13</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4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19</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62</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毕业设计</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8</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必修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63</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毕业实习</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必修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64</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sz w:val="18"/>
                      <w:szCs w:val="18"/>
                    </w:rPr>
                  </w:pPr>
                  <w:r>
                    <w:rPr>
                      <w:rFonts w:hint="eastAsia" w:ascii="Times New Roman" w:hAnsi="Times New Roman"/>
                      <w:sz w:val="18"/>
                      <w:szCs w:val="18"/>
                    </w:rPr>
                    <w:t>汽车设计制造实训</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65</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sz w:val="18"/>
                      <w:szCs w:val="18"/>
                    </w:rPr>
                  </w:pPr>
                  <w:r>
                    <w:rPr>
                      <w:rFonts w:hint="eastAsia" w:ascii="Times New Roman" w:hAnsi="Times New Roman"/>
                      <w:sz w:val="18"/>
                      <w:szCs w:val="18"/>
                    </w:rPr>
                    <w:t>汽车检测实训</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66</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sz w:val="18"/>
                      <w:szCs w:val="18"/>
                    </w:rPr>
                  </w:pPr>
                  <w:r>
                    <w:rPr>
                      <w:rFonts w:ascii="Times New Roman" w:hAnsi="Times New Roman"/>
                      <w:color w:val="000000"/>
                      <w:kern w:val="0"/>
                      <w:sz w:val="18"/>
                      <w:szCs w:val="18"/>
                    </w:rPr>
                    <w:t>汽车</w:t>
                  </w:r>
                  <w:r>
                    <w:rPr>
                      <w:rFonts w:hint="eastAsia" w:ascii="Times New Roman" w:hAnsi="Times New Roman"/>
                      <w:color w:val="000000"/>
                      <w:kern w:val="0"/>
                      <w:sz w:val="18"/>
                      <w:szCs w:val="18"/>
                    </w:rPr>
                    <w:t>电控</w:t>
                  </w:r>
                  <w:r>
                    <w:rPr>
                      <w:rFonts w:ascii="Times New Roman" w:hAnsi="Times New Roman"/>
                      <w:color w:val="000000"/>
                      <w:kern w:val="0"/>
                      <w:sz w:val="18"/>
                      <w:szCs w:val="18"/>
                    </w:rPr>
                    <w:t>实训</w:t>
                  </w:r>
                </w:p>
              </w:tc>
              <w:tc>
                <w:tcPr>
                  <w:tcW w:w="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选修</w:t>
                  </w:r>
                </w:p>
              </w:tc>
              <w:tc>
                <w:tcPr>
                  <w:tcW w:w="4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5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gridAfter w:val="1"/>
                <w:wAfter w:w="552" w:type="dxa"/>
                <w:trHeight w:val="623" w:hRule="atLeast"/>
              </w:trPr>
              <w:tc>
                <w:tcPr>
                  <w:tcW w:w="373" w:type="dxa"/>
                  <w:vMerge w:val="restart"/>
                  <w:tcBorders>
                    <w:top w:val="single" w:color="auto" w:sz="4" w:space="0"/>
                    <w:left w:val="single" w:color="auto" w:sz="4" w:space="0"/>
                    <w:right w:val="single" w:color="auto" w:sz="4" w:space="0"/>
                  </w:tcBorders>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补修课</w:t>
                  </w:r>
                </w:p>
              </w:tc>
              <w:tc>
                <w:tcPr>
                  <w:tcW w:w="453"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716"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462"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67</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725</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机械制造基础</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23" w:hRule="atLeast"/>
              </w:trPr>
              <w:tc>
                <w:tcPr>
                  <w:tcW w:w="37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68</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716</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机械设计基础</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总部</w:t>
                  </w:r>
                </w:p>
              </w:tc>
            </w:tr>
            <w:tr>
              <w:tblPrEx>
                <w:tblCellMar>
                  <w:top w:w="0" w:type="dxa"/>
                  <w:left w:w="108" w:type="dxa"/>
                  <w:bottom w:w="0" w:type="dxa"/>
                  <w:right w:w="108" w:type="dxa"/>
                </w:tblCellMar>
              </w:tblPrEx>
              <w:trPr>
                <w:gridAfter w:val="1"/>
                <w:wAfter w:w="552" w:type="dxa"/>
                <w:trHeight w:val="642" w:hRule="atLeast"/>
              </w:trPr>
              <w:tc>
                <w:tcPr>
                  <w:tcW w:w="373"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3"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716"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2"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69</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289</w:t>
                  </w:r>
                </w:p>
              </w:tc>
              <w:tc>
                <w:tcPr>
                  <w:tcW w:w="2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电工电子技术</w:t>
                  </w: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4</w:t>
                  </w:r>
                </w:p>
              </w:tc>
              <w:tc>
                <w:tcPr>
                  <w:tcW w:w="5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5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必修</w:t>
                  </w: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总部</w:t>
                  </w:r>
                </w:p>
              </w:tc>
            </w:tr>
          </w:tbl>
          <w:p>
            <w:pPr>
              <w:widowControl/>
              <w:spacing w:line="360" w:lineRule="auto"/>
              <w:jc w:val="left"/>
              <w:rPr>
                <w:rFonts w:ascii="宋体" w:hAnsi="宋体" w:cs="宋体"/>
                <w:kern w:val="0"/>
                <w:sz w:val="24"/>
              </w:rPr>
            </w:pPr>
            <w:r>
              <w:rPr>
                <w:rFonts w:ascii="宋体" w:hAnsi="宋体"/>
                <w:b/>
                <w:sz w:val="28"/>
                <w:szCs w:val="28"/>
              </w:rPr>
              <w:t>八、支持服务能力</w:t>
            </w:r>
          </w:p>
          <w:p>
            <w:pPr>
              <w:widowControl/>
              <w:spacing w:line="360" w:lineRule="auto"/>
              <w:jc w:val="left"/>
              <w:rPr>
                <w:rFonts w:ascii="宋体" w:hAnsi="宋体" w:cs="宋体"/>
                <w:kern w:val="0"/>
                <w:sz w:val="24"/>
              </w:rPr>
            </w:pPr>
            <w:r>
              <w:rPr>
                <w:rFonts w:ascii="宋体" w:hAnsi="宋体" w:cs="Courier New"/>
                <w:b/>
                <w:sz w:val="24"/>
              </w:rPr>
              <w:t>（一）师资队伍</w:t>
            </w:r>
          </w:p>
          <w:p>
            <w:pPr>
              <w:pStyle w:val="4"/>
              <w:adjustRightInd w:val="0"/>
              <w:snapToGrid w:val="0"/>
              <w:spacing w:line="360" w:lineRule="auto"/>
              <w:ind w:firstLine="424" w:firstLineChars="177"/>
              <w:rPr>
                <w:rFonts w:hAnsi="宋体"/>
                <w:sz w:val="24"/>
                <w:szCs w:val="24"/>
              </w:rPr>
            </w:pPr>
            <w:r>
              <w:rPr>
                <w:rFonts w:ascii="Times New Roman" w:hAnsi="Times New Roman" w:cs="Times New Roman"/>
                <w:sz w:val="24"/>
                <w:szCs w:val="24"/>
              </w:rPr>
              <w:t>总部有本专业在编专任教师5人，副教授5人。5名教师中有博士3人，硕士2人，硕士及以上学位的教师占比为100%。广大教师</w:t>
            </w:r>
            <w:r>
              <w:rPr>
                <w:rFonts w:hAnsi="宋体"/>
                <w:sz w:val="24"/>
                <w:szCs w:val="24"/>
              </w:rPr>
              <w:t>积极投身教学改革、教学研究与学科研究，取得了丰硕的成果。</w:t>
            </w:r>
          </w:p>
          <w:p>
            <w:pPr>
              <w:pStyle w:val="4"/>
              <w:adjustRightInd w:val="0"/>
              <w:snapToGrid w:val="0"/>
              <w:spacing w:line="360" w:lineRule="auto"/>
              <w:ind w:firstLine="424" w:firstLineChars="177"/>
              <w:rPr>
                <w:rFonts w:hAnsi="宋体"/>
                <w:sz w:val="24"/>
                <w:szCs w:val="24"/>
              </w:rPr>
            </w:pPr>
            <w:r>
              <w:rPr>
                <w:rFonts w:hAnsi="宋体"/>
                <w:sz w:val="24"/>
                <w:szCs w:val="24"/>
              </w:rPr>
              <w:t>本专业必修课程都组建了由课程的主编主讲、主持教师、责任教师、辅导教师组成的课程教学团队，负责课程建设、课程教学与课程学习支持服务。按照学校规定，必修课程在课程建设过程中的教学大纲、多种媒体资源、课程考核等重要环节均需经过学科专家严格审定才可使用。分部开设的选修课程按照总部的要求，也建有相应的课程教学团队。</w:t>
            </w:r>
          </w:p>
          <w:p>
            <w:pPr>
              <w:widowControl/>
              <w:spacing w:line="360" w:lineRule="auto"/>
              <w:jc w:val="left"/>
              <w:rPr>
                <w:rFonts w:ascii="宋体" w:hAnsi="宋体" w:cs="宋体"/>
                <w:b/>
                <w:kern w:val="0"/>
                <w:sz w:val="24"/>
              </w:rPr>
            </w:pPr>
            <w:r>
              <w:rPr>
                <w:rFonts w:ascii="宋体" w:hAnsi="宋体" w:cs="宋体"/>
                <w:b/>
                <w:kern w:val="0"/>
                <w:sz w:val="24"/>
              </w:rPr>
              <w:t>（二）教学资源</w:t>
            </w:r>
          </w:p>
          <w:p>
            <w:pPr>
              <w:pStyle w:val="4"/>
              <w:adjustRightInd w:val="0"/>
              <w:snapToGrid w:val="0"/>
              <w:spacing w:line="360" w:lineRule="auto"/>
              <w:ind w:firstLine="424" w:firstLineChars="177"/>
              <w:rPr>
                <w:rFonts w:hAnsi="宋体"/>
                <w:sz w:val="24"/>
                <w:szCs w:val="24"/>
              </w:rPr>
            </w:pPr>
            <w:r>
              <w:rPr>
                <w:rFonts w:hAnsi="宋体"/>
                <w:sz w:val="24"/>
                <w:szCs w:val="24"/>
              </w:rPr>
              <w:t>根据国家开放大学教学资源建设规划，本专业</w:t>
            </w:r>
            <w:r>
              <w:rPr>
                <w:rFonts w:hint="eastAsia" w:hAnsi="宋体"/>
                <w:sz w:val="24"/>
                <w:szCs w:val="24"/>
              </w:rPr>
              <w:t>的专业基础课和专业课均</w:t>
            </w:r>
            <w:r>
              <w:rPr>
                <w:rFonts w:hAnsi="宋体"/>
                <w:sz w:val="24"/>
                <w:szCs w:val="24"/>
              </w:rPr>
              <w:t>选聘高校</w:t>
            </w:r>
            <w:r>
              <w:rPr>
                <w:rFonts w:hint="eastAsia" w:hAnsi="宋体"/>
                <w:sz w:val="24"/>
                <w:szCs w:val="24"/>
              </w:rPr>
              <w:t>、行业和企业的</w:t>
            </w:r>
            <w:r>
              <w:rPr>
                <w:rFonts w:hAnsi="宋体"/>
                <w:sz w:val="24"/>
                <w:szCs w:val="24"/>
              </w:rPr>
              <w:t>知名专家担任课程主讲、主编，建设了多种媒体教学资源，主要包括文字教材、音像教材、网络课程等网上资源。</w:t>
            </w:r>
          </w:p>
          <w:p>
            <w:pPr>
              <w:widowControl/>
              <w:spacing w:line="360" w:lineRule="auto"/>
              <w:jc w:val="left"/>
              <w:rPr>
                <w:rFonts w:ascii="宋体" w:hAnsi="宋体" w:cs="宋体"/>
                <w:b/>
                <w:kern w:val="0"/>
                <w:sz w:val="24"/>
              </w:rPr>
            </w:pPr>
            <w:r>
              <w:rPr>
                <w:rFonts w:ascii="宋体" w:hAnsi="宋体" w:cs="宋体"/>
                <w:b/>
                <w:kern w:val="0"/>
                <w:sz w:val="24"/>
              </w:rPr>
              <w:t>（三）设施设备</w:t>
            </w:r>
          </w:p>
          <w:p>
            <w:pPr>
              <w:pStyle w:val="4"/>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1．实习实训基地</w:t>
            </w:r>
          </w:p>
          <w:p>
            <w:pPr>
              <w:pStyle w:val="4"/>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本专业依托国家开放大学学习网进行网上教学，另外也一直注重实践教学条件的建设与完善，各地方分部也积极探索与企业或学校合作，建立了稳定的实验、实习、实训基地。</w:t>
            </w:r>
          </w:p>
          <w:p>
            <w:pPr>
              <w:pStyle w:val="4"/>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2.图书资料与学习资源</w:t>
            </w:r>
          </w:p>
          <w:p>
            <w:pPr>
              <w:pStyle w:val="4"/>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总部、分部、学院和有条件的学习中心都建有图书馆和数字图书馆，可以实现馆际借阅。图书种类覆盖了机械、电子、自动化等机电学科的书籍以及装备制造业领域的其他相关书籍。总部数字图书馆还配备了中国知网、万方知识服务平台、龙源期刊网、超星数字图书馆电子书、EBM外文电子书等，提供了丰富的经济学科方面的数字图书资源。学校通过数字化的形式面向所有教职工和学生提供文献资源的阅览和下载</w:t>
            </w:r>
            <w:r>
              <w:rPr>
                <w:rFonts w:hint="eastAsia" w:ascii="Times New Roman" w:hAnsi="Times New Roman" w:cs="Times New Roman"/>
                <w:sz w:val="24"/>
                <w:szCs w:val="24"/>
                <w:lang w:eastAsia="zh-CN"/>
              </w:rPr>
              <w:t>。</w:t>
            </w: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p>
            <w:pPr>
              <w:pStyle w:val="4"/>
              <w:adjustRightInd w:val="0"/>
              <w:snapToGrid w:val="0"/>
              <w:spacing w:line="360" w:lineRule="auto"/>
              <w:ind w:firstLine="424" w:firstLineChars="177"/>
              <w:rPr>
                <w:rFonts w:ascii="Times New Roman" w:hAnsi="Times New Roman" w:cs="Times New Roman"/>
                <w:sz w:val="24"/>
                <w:szCs w:val="24"/>
              </w:rPr>
            </w:pPr>
          </w:p>
        </w:tc>
      </w:tr>
    </w:tbl>
    <w:p>
      <w:pPr>
        <w:spacing w:after="156" w:afterLines="50" w:line="580" w:lineRule="exact"/>
        <w:jc w:val="center"/>
        <w:rPr>
          <w:rFonts w:ascii="Times New Roman" w:hAnsi="Times New Roman" w:eastAsia="黑体"/>
          <w:sz w:val="32"/>
          <w:szCs w:val="32"/>
        </w:rPr>
      </w:pPr>
      <w:r>
        <w:rPr>
          <w:rFonts w:ascii="Times New Roman" w:hAnsi="Times New Roman" w:eastAsia="方正小标宋简体"/>
          <w:sz w:val="32"/>
          <w:szCs w:val="32"/>
        </w:rPr>
        <w:t xml:space="preserve"> </w:t>
      </w:r>
      <w:r>
        <w:rPr>
          <w:rFonts w:ascii="Times New Roman" w:hAnsi="黑体" w:eastAsia="黑体"/>
          <w:sz w:val="32"/>
          <w:szCs w:val="32"/>
        </w:rPr>
        <w:t>增设专业专任教师情况</w:t>
      </w:r>
    </w:p>
    <w:tbl>
      <w:tblPr>
        <w:tblStyle w:val="11"/>
        <w:tblW w:w="94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2"/>
        <w:gridCol w:w="783"/>
        <w:gridCol w:w="522"/>
        <w:gridCol w:w="510"/>
        <w:gridCol w:w="1043"/>
        <w:gridCol w:w="1325"/>
        <w:gridCol w:w="1490"/>
        <w:gridCol w:w="1150"/>
        <w:gridCol w:w="957"/>
        <w:gridCol w:w="10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4"/>
                <w:szCs w:val="24"/>
              </w:rPr>
            </w:pPr>
            <w:r>
              <w:rPr>
                <w:rFonts w:ascii="Times New Roman" w:hAnsiTheme="minorEastAsia" w:eastAsiaTheme="minorEastAsia"/>
                <w:sz w:val="24"/>
                <w:szCs w:val="24"/>
              </w:rPr>
              <w:t>序号</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4"/>
                <w:szCs w:val="24"/>
              </w:rPr>
            </w:pPr>
            <w:r>
              <w:rPr>
                <w:rFonts w:ascii="Times New Roman" w:hAnsiTheme="minorEastAsia" w:eastAsiaTheme="minorEastAsia"/>
                <w:sz w:val="24"/>
                <w:szCs w:val="24"/>
              </w:rPr>
              <w:t>姓名</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4"/>
                <w:szCs w:val="24"/>
              </w:rPr>
            </w:pPr>
            <w:r>
              <w:rPr>
                <w:rFonts w:ascii="Times New Roman" w:hAnsiTheme="minorEastAsia" w:eastAsiaTheme="minorEastAsia"/>
                <w:sz w:val="24"/>
                <w:szCs w:val="24"/>
              </w:rPr>
              <w:t>性别</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4"/>
                <w:szCs w:val="24"/>
              </w:rPr>
            </w:pPr>
            <w:r>
              <w:rPr>
                <w:rFonts w:ascii="Times New Roman" w:hAnsiTheme="minorEastAsia" w:eastAsiaTheme="minorEastAsia"/>
                <w:sz w:val="24"/>
                <w:szCs w:val="24"/>
              </w:rPr>
              <w:t>年龄</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4"/>
                <w:szCs w:val="24"/>
              </w:rPr>
            </w:pPr>
            <w:r>
              <w:rPr>
                <w:rFonts w:ascii="Times New Roman" w:hAnsiTheme="minorEastAsia" w:eastAsiaTheme="minorEastAsia"/>
                <w:sz w:val="24"/>
                <w:szCs w:val="24"/>
              </w:rPr>
              <w:t>专业技术职务</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4"/>
                <w:szCs w:val="24"/>
              </w:rPr>
            </w:pPr>
            <w:r>
              <w:rPr>
                <w:rFonts w:ascii="Times New Roman" w:hAnsiTheme="minorEastAsia" w:eastAsiaTheme="minorEastAsia"/>
                <w:sz w:val="24"/>
                <w:szCs w:val="24"/>
              </w:rPr>
              <w:t>第一学历毕业学校、专业、学位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4"/>
                <w:szCs w:val="24"/>
              </w:rPr>
            </w:pPr>
            <w:r>
              <w:rPr>
                <w:rFonts w:ascii="Times New Roman" w:hAnsiTheme="minorEastAsia" w:eastAsiaTheme="minorEastAsia"/>
                <w:sz w:val="24"/>
                <w:szCs w:val="24"/>
              </w:rPr>
              <w:t>最后学历毕业学校、专业、学位</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现从事</w:t>
            </w:r>
          </w:p>
          <w:p>
            <w:pPr>
              <w:spacing w:line="340" w:lineRule="exact"/>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专业</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拟任</w:t>
            </w:r>
          </w:p>
          <w:p>
            <w:pPr>
              <w:spacing w:line="340" w:lineRule="exact"/>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课程</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专职</w:t>
            </w:r>
            <w:r>
              <w:rPr>
                <w:rFonts w:ascii="Times New Roman" w:hAnsi="Times New Roman" w:eastAsiaTheme="minorEastAsia"/>
                <w:sz w:val="24"/>
                <w:szCs w:val="24"/>
              </w:rPr>
              <w:t>/</w:t>
            </w:r>
          </w:p>
          <w:p>
            <w:pPr>
              <w:spacing w:line="340" w:lineRule="exact"/>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02"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李志香</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43</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ascii="Times New Roman" w:hAnsi="Times New Roman"/>
                <w:sz w:val="24"/>
                <w:szCs w:val="24"/>
              </w:rPr>
              <w:t>山东科技大学</w:t>
            </w:r>
            <w:r>
              <w:rPr>
                <w:rFonts w:hint="eastAsia" w:ascii="Times New Roman" w:hAnsi="Times New Roman"/>
                <w:sz w:val="24"/>
                <w:szCs w:val="24"/>
              </w:rPr>
              <w:t>、</w:t>
            </w:r>
            <w:r>
              <w:rPr>
                <w:rFonts w:ascii="Times New Roman" w:hAnsi="Times New Roman"/>
                <w:sz w:val="24"/>
                <w:szCs w:val="24"/>
              </w:rPr>
              <w:t>机械设计制造及其自动化</w:t>
            </w:r>
            <w:r>
              <w:rPr>
                <w:rFonts w:hint="eastAsia" w:ascii="Times New Roman" w:hAnsi="Times New Roman"/>
                <w:sz w:val="24"/>
                <w:szCs w:val="24"/>
              </w:rPr>
              <w:t>、</w:t>
            </w:r>
            <w:r>
              <w:rPr>
                <w:rFonts w:ascii="Times New Roman" w:hAnsi="Times New Roman"/>
                <w:sz w:val="24"/>
                <w:szCs w:val="24"/>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ascii="Times New Roman" w:hAnsi="Times New Roman"/>
                <w:sz w:val="24"/>
                <w:szCs w:val="24"/>
              </w:rPr>
              <w:t>北京理工大学</w:t>
            </w:r>
            <w:r>
              <w:rPr>
                <w:rFonts w:hint="eastAsia" w:ascii="Times New Roman" w:hAnsi="Times New Roman"/>
                <w:sz w:val="24"/>
                <w:szCs w:val="24"/>
              </w:rPr>
              <w:t>、</w:t>
            </w:r>
            <w:r>
              <w:rPr>
                <w:rFonts w:ascii="Times New Roman" w:hAnsi="Times New Roman"/>
                <w:sz w:val="24"/>
                <w:szCs w:val="24"/>
              </w:rPr>
              <w:t>机械设计及理论</w:t>
            </w:r>
            <w:r>
              <w:rPr>
                <w:rFonts w:hint="eastAsia" w:ascii="Times New Roman" w:hAnsi="Times New Roman"/>
                <w:sz w:val="24"/>
                <w:szCs w:val="24"/>
              </w:rPr>
              <w:t>、博士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机械工程</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汽车制造工艺学</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5"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宁晨</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56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hint="eastAsia" w:ascii="Times New Roman" w:hAnsi="Times New Roman"/>
                <w:sz w:val="24"/>
                <w:szCs w:val="24"/>
              </w:rPr>
              <w:t>南京工学院、无线电技术专业、学士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北京工业大学、计算机应用专业、工程硕士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机电</w:t>
            </w:r>
            <w:r>
              <w:rPr>
                <w:rFonts w:hint="eastAsia" w:ascii="Times New Roman" w:hAnsi="Times New Roman"/>
                <w:sz w:val="24"/>
                <w:szCs w:val="24"/>
              </w:rPr>
              <w:t>、</w:t>
            </w:r>
            <w:r>
              <w:rPr>
                <w:rFonts w:ascii="Times New Roman" w:hAnsi="Times New Roman"/>
                <w:sz w:val="24"/>
                <w:szCs w:val="24"/>
              </w:rPr>
              <w:t>自动控制</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汽车发动机原理</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4"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孙志娟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37</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hint="eastAsia" w:ascii="Times New Roman" w:hAnsi="Times New Roman"/>
                <w:sz w:val="24"/>
                <w:szCs w:val="24"/>
              </w:rPr>
              <w:t>哈尔滨工程大学、机械设计制造及其自动化、学士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hint="eastAsia" w:ascii="Times New Roman" w:hAnsi="Times New Roman"/>
                <w:sz w:val="24"/>
                <w:szCs w:val="24"/>
              </w:rPr>
              <w:t>北京工业大学、机械工程、博士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机械工程</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汽车设计</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93"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4</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rPr>
                <w:rFonts w:ascii="Times New Roman" w:hAnsi="Times New Roman"/>
                <w:sz w:val="24"/>
                <w:szCs w:val="24"/>
              </w:rPr>
            </w:pPr>
            <w:r>
              <w:rPr>
                <w:rFonts w:hint="eastAsia" w:ascii="Times New Roman" w:hAnsi="Times New Roman"/>
                <w:sz w:val="24"/>
                <w:szCs w:val="24"/>
              </w:rPr>
              <w:t>田虓</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44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rPr>
                <w:rFonts w:ascii="Times New Roman" w:hAnsi="Times New Roman"/>
                <w:sz w:val="24"/>
                <w:szCs w:val="24"/>
              </w:rPr>
            </w:pPr>
            <w:r>
              <w:rPr>
                <w:rFonts w:hint="eastAsia" w:ascii="Times New Roman" w:hAnsi="Times New Roman"/>
                <w:sz w:val="24"/>
                <w:szCs w:val="24"/>
              </w:rPr>
              <w:t>北方工业大学、电气自动化、  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hint="eastAsia" w:ascii="Times New Roman" w:hAnsi="Times New Roman"/>
                <w:sz w:val="24"/>
                <w:szCs w:val="24"/>
              </w:rPr>
              <w:t>北京工业大学、电气自动化、硕士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机电</w:t>
            </w:r>
            <w:r>
              <w:rPr>
                <w:rFonts w:hint="eastAsia" w:ascii="Times New Roman" w:hAnsi="Times New Roman"/>
                <w:sz w:val="24"/>
                <w:szCs w:val="24"/>
              </w:rPr>
              <w:t>、</w:t>
            </w:r>
            <w:r>
              <w:rPr>
                <w:rFonts w:ascii="Times New Roman" w:hAnsi="Times New Roman"/>
                <w:sz w:val="24"/>
                <w:szCs w:val="24"/>
              </w:rPr>
              <w:t>自动控制</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热工与流体力学基础</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0"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5</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郝智红</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37</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hint="eastAsia" w:ascii="Times New Roman" w:hAnsi="Times New Roman"/>
                <w:sz w:val="24"/>
                <w:szCs w:val="24"/>
              </w:rPr>
              <w:t>内蒙古科技大学、控制理论与控制工程、学士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left"/>
              <w:rPr>
                <w:rFonts w:ascii="Times New Roman" w:hAnsi="Times New Roman"/>
                <w:sz w:val="24"/>
                <w:szCs w:val="24"/>
              </w:rPr>
            </w:pPr>
            <w:r>
              <w:rPr>
                <w:rFonts w:hint="eastAsia" w:ascii="Times New Roman" w:hAnsi="Times New Roman"/>
                <w:sz w:val="24"/>
                <w:szCs w:val="24"/>
              </w:rPr>
              <w:t>北京科技大学、控制理论与控制工程专业、博士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机电</w:t>
            </w:r>
            <w:r>
              <w:rPr>
                <w:rFonts w:hint="eastAsia" w:ascii="Times New Roman" w:hAnsi="Times New Roman"/>
                <w:sz w:val="24"/>
                <w:szCs w:val="24"/>
              </w:rPr>
              <w:t>、</w:t>
            </w:r>
            <w:r>
              <w:rPr>
                <w:rFonts w:ascii="Times New Roman" w:hAnsi="Times New Roman"/>
                <w:sz w:val="24"/>
                <w:szCs w:val="24"/>
              </w:rPr>
              <w:t>自动控制</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汽车理论</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6</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李雪原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50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北京理工大学</w:t>
            </w:r>
            <w:r>
              <w:rPr>
                <w:rFonts w:hint="eastAsia" w:ascii="Times New Roman" w:hAnsi="Times New Roman"/>
                <w:sz w:val="24"/>
                <w:szCs w:val="24"/>
              </w:rPr>
              <w:t>、车辆工程、学士士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北京理工大学</w:t>
            </w:r>
            <w:r>
              <w:rPr>
                <w:rFonts w:hint="eastAsia" w:ascii="Times New Roman" w:hAnsi="Times New Roman"/>
                <w:sz w:val="24"/>
                <w:szCs w:val="24"/>
              </w:rPr>
              <w:t>、车辆工程、博士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车辆工程</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汽车</w:t>
            </w:r>
            <w:r>
              <w:rPr>
                <w:rFonts w:hint="eastAsia" w:ascii="Times New Roman" w:hAnsi="Times New Roman"/>
                <w:sz w:val="24"/>
                <w:szCs w:val="24"/>
              </w:rPr>
              <w:t>构造</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7</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周庆辉</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45</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中国农业大学</w:t>
            </w:r>
            <w:r>
              <w:rPr>
                <w:rFonts w:hint="eastAsia" w:ascii="Times New Roman" w:hAnsi="Times New Roman"/>
                <w:sz w:val="24"/>
                <w:szCs w:val="24"/>
              </w:rPr>
              <w:t>、</w:t>
            </w:r>
            <w:r>
              <w:rPr>
                <w:rFonts w:ascii="Times New Roman" w:hAnsi="Times New Roman"/>
                <w:sz w:val="24"/>
                <w:szCs w:val="24"/>
              </w:rPr>
              <w:t>车辆工程</w:t>
            </w:r>
            <w:r>
              <w:rPr>
                <w:rFonts w:hint="eastAsia" w:ascii="Times New Roman" w:hAnsi="Times New Roman"/>
                <w:sz w:val="24"/>
                <w:szCs w:val="24"/>
              </w:rPr>
              <w:t>、学</w:t>
            </w:r>
            <w:r>
              <w:rPr>
                <w:rFonts w:ascii="Times New Roman" w:hAnsi="Times New Roman"/>
                <w:sz w:val="24"/>
                <w:szCs w:val="24"/>
              </w:rPr>
              <w:t>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中国农业大学</w:t>
            </w:r>
            <w:r>
              <w:rPr>
                <w:rFonts w:hint="eastAsia" w:ascii="Times New Roman" w:hAnsi="Times New Roman"/>
                <w:sz w:val="24"/>
                <w:szCs w:val="24"/>
              </w:rPr>
              <w:t>、</w:t>
            </w:r>
            <w:r>
              <w:rPr>
                <w:rFonts w:ascii="Times New Roman" w:hAnsi="Times New Roman"/>
                <w:sz w:val="24"/>
                <w:szCs w:val="24"/>
              </w:rPr>
              <w:t>车辆工程</w:t>
            </w:r>
            <w:r>
              <w:rPr>
                <w:rFonts w:hint="eastAsia" w:ascii="Times New Roman" w:hAnsi="Times New Roman"/>
                <w:sz w:val="24"/>
                <w:szCs w:val="24"/>
              </w:rPr>
              <w:t>、</w:t>
            </w:r>
            <w:r>
              <w:rPr>
                <w:rFonts w:ascii="Times New Roman" w:hAnsi="Times New Roman"/>
                <w:sz w:val="24"/>
                <w:szCs w:val="24"/>
              </w:rPr>
              <w:t>博士</w:t>
            </w:r>
          </w:p>
        </w:tc>
        <w:tc>
          <w:tcPr>
            <w:tcW w:w="1150" w:type="dxa"/>
            <w:tcBorders>
              <w:top w:val="single" w:color="000000" w:sz="4" w:space="0"/>
              <w:left w:val="single" w:color="000000" w:sz="4" w:space="0"/>
              <w:bottom w:val="single" w:color="000000" w:sz="4" w:space="0"/>
              <w:right w:val="single" w:color="000000" w:sz="4" w:space="0"/>
            </w:tcBorders>
          </w:tcPr>
          <w:p>
            <w:pPr>
              <w:spacing w:line="340" w:lineRule="exact"/>
              <w:jc w:val="center"/>
              <w:rPr>
                <w:rFonts w:ascii="Times New Roman" w:hAnsi="Times New Roman"/>
                <w:sz w:val="24"/>
                <w:szCs w:val="24"/>
              </w:rPr>
            </w:pPr>
            <w:r>
              <w:rPr>
                <w:rFonts w:ascii="Times New Roman" w:hAnsi="Times New Roman"/>
                <w:sz w:val="24"/>
                <w:szCs w:val="24"/>
              </w:rPr>
              <w:t>机械工程</w:t>
            </w:r>
            <w:r>
              <w:rPr>
                <w:rFonts w:hint="eastAsia" w:ascii="Times New Roman" w:hAnsi="Times New Roman"/>
                <w:sz w:val="24"/>
                <w:szCs w:val="24"/>
              </w:rPr>
              <w:t>、</w:t>
            </w:r>
            <w:r>
              <w:rPr>
                <w:rFonts w:ascii="Times New Roman" w:hAnsi="Times New Roman"/>
                <w:sz w:val="24"/>
                <w:szCs w:val="24"/>
              </w:rPr>
              <w:t>车辆工程</w:t>
            </w:r>
          </w:p>
        </w:tc>
        <w:tc>
          <w:tcPr>
            <w:tcW w:w="957" w:type="dxa"/>
            <w:tcBorders>
              <w:top w:val="single" w:color="000000" w:sz="4" w:space="0"/>
              <w:left w:val="single" w:color="000000" w:sz="4" w:space="0"/>
              <w:bottom w:val="single" w:color="000000" w:sz="4" w:space="0"/>
              <w:right w:val="single" w:color="000000" w:sz="4" w:space="0"/>
            </w:tcBorders>
          </w:tcPr>
          <w:p>
            <w:pPr>
              <w:spacing w:line="340" w:lineRule="exact"/>
              <w:jc w:val="center"/>
              <w:rPr>
                <w:rFonts w:ascii="Times New Roman" w:hAnsi="Times New Roman"/>
                <w:sz w:val="24"/>
                <w:szCs w:val="24"/>
              </w:rPr>
            </w:pPr>
            <w:r>
              <w:rPr>
                <w:rFonts w:ascii="Times New Roman" w:hAnsi="Times New Roman"/>
                <w:sz w:val="24"/>
                <w:szCs w:val="24"/>
              </w:rPr>
              <w:t>汽车</w:t>
            </w:r>
            <w:r>
              <w:rPr>
                <w:rFonts w:hint="eastAsia" w:ascii="Times New Roman" w:hAnsi="Times New Roman"/>
                <w:sz w:val="24"/>
                <w:szCs w:val="24"/>
              </w:rPr>
              <w:t>制造</w:t>
            </w:r>
            <w:r>
              <w:rPr>
                <w:rFonts w:ascii="Times New Roman" w:hAnsi="Times New Roman"/>
                <w:sz w:val="24"/>
                <w:szCs w:val="24"/>
              </w:rPr>
              <w:t>工艺学</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8</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仿宋_GB2312" w:eastAsia="仿宋_GB2312"/>
                <w:sz w:val="28"/>
              </w:rPr>
              <w:t>纪常伟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54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东北林业大学、汽车运用工程、</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hint="eastAsia" w:ascii="Times New Roman" w:hAnsi="Times New Roman"/>
                <w:sz w:val="24"/>
                <w:szCs w:val="24"/>
              </w:rPr>
              <w:t>哈尔滨工业大学、车辆工程、博士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车辆工程</w:t>
            </w:r>
          </w:p>
        </w:tc>
        <w:tc>
          <w:tcPr>
            <w:tcW w:w="957" w:type="dxa"/>
            <w:tcBorders>
              <w:top w:val="single" w:color="000000" w:sz="4" w:space="0"/>
              <w:left w:val="single" w:color="000000" w:sz="4" w:space="0"/>
              <w:bottom w:val="single" w:color="000000" w:sz="4" w:space="0"/>
              <w:right w:val="single" w:color="000000" w:sz="4" w:space="0"/>
            </w:tcBorders>
          </w:tcPr>
          <w:p>
            <w:pPr>
              <w:spacing w:line="340" w:lineRule="exact"/>
              <w:jc w:val="center"/>
              <w:rPr>
                <w:rFonts w:ascii="Times New Roman" w:hAnsi="Times New Roman"/>
                <w:sz w:val="24"/>
                <w:szCs w:val="24"/>
              </w:rPr>
            </w:pPr>
            <w:r>
              <w:rPr>
                <w:rFonts w:ascii="Times New Roman" w:hAnsi="Times New Roman"/>
                <w:sz w:val="24"/>
                <w:szCs w:val="24"/>
              </w:rPr>
              <w:t>汽车发动机原理</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4"/>
                <w:szCs w:val="24"/>
              </w:rPr>
            </w:pPr>
            <w:r>
              <w:rPr>
                <w:rFonts w:ascii="Times New Roman" w:hAnsi="Times New Roman"/>
                <w:sz w:val="24"/>
                <w:szCs w:val="24"/>
              </w:rPr>
              <w:t>兼职</w:t>
            </w:r>
          </w:p>
        </w:tc>
      </w:tr>
    </w:tbl>
    <w:p>
      <w:pPr>
        <w:spacing w:after="156" w:afterLines="50" w:line="580" w:lineRule="exact"/>
        <w:jc w:val="center"/>
        <w:rPr>
          <w:rFonts w:ascii="Times New Roman" w:hAnsi="Times New Roman" w:eastAsia="黑体"/>
          <w:sz w:val="32"/>
          <w:szCs w:val="32"/>
        </w:rPr>
      </w:pPr>
      <w:r>
        <w:rPr>
          <w:rFonts w:ascii="Times New Roman" w:hAnsi="黑体" w:eastAsia="黑体"/>
          <w:sz w:val="32"/>
          <w:szCs w:val="32"/>
        </w:rPr>
        <w:t>增设专业计划开设的主要课程</w:t>
      </w:r>
    </w:p>
    <w:tbl>
      <w:tblPr>
        <w:tblStyle w:val="11"/>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1"/>
        <w:gridCol w:w="3676"/>
        <w:gridCol w:w="1271"/>
        <w:gridCol w:w="1590"/>
        <w:gridCol w:w="14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序号</w:t>
            </w:r>
          </w:p>
        </w:tc>
        <w:tc>
          <w:tcPr>
            <w:tcW w:w="215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课程名称</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课程</w:t>
            </w:r>
          </w:p>
          <w:p>
            <w:pPr>
              <w:spacing w:line="320" w:lineRule="exact"/>
              <w:jc w:val="center"/>
              <w:rPr>
                <w:rFonts w:ascii="Times New Roman" w:hAnsi="Times New Roman"/>
                <w:sz w:val="24"/>
                <w:szCs w:val="24"/>
              </w:rPr>
            </w:pPr>
            <w:r>
              <w:rPr>
                <w:rFonts w:ascii="Times New Roman"/>
                <w:sz w:val="24"/>
                <w:szCs w:val="24"/>
              </w:rPr>
              <w:t>总学时</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sz w:val="24"/>
                <w:szCs w:val="24"/>
              </w:rPr>
              <w:t>授课学期</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sz w:val="24"/>
                <w:szCs w:val="24"/>
              </w:rPr>
              <w:t>统设课资源情况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w:t>
            </w:r>
          </w:p>
        </w:tc>
        <w:tc>
          <w:tcPr>
            <w:tcW w:w="215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热工与流体力学基础</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54</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w:t>
            </w:r>
          </w:p>
        </w:tc>
        <w:tc>
          <w:tcPr>
            <w:tcW w:w="215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汽车发动机原理</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2</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3</w:t>
            </w:r>
          </w:p>
        </w:tc>
        <w:tc>
          <w:tcPr>
            <w:tcW w:w="215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汽车理论</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4</w:t>
            </w:r>
          </w:p>
        </w:tc>
        <w:tc>
          <w:tcPr>
            <w:tcW w:w="215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汽车制造工艺学</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5</w:t>
            </w:r>
          </w:p>
        </w:tc>
        <w:tc>
          <w:tcPr>
            <w:tcW w:w="215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w:t>
            </w:r>
            <w:r>
              <w:rPr>
                <w:rFonts w:eastAsiaTheme="minorEastAsia"/>
                <w:color w:val="000000" w:themeColor="text1"/>
                <w:sz w:val="24"/>
                <w:szCs w:val="24"/>
                <w14:textFill>
                  <w14:solidFill>
                    <w14:schemeClr w14:val="tx1"/>
                  </w14:solidFill>
                </w14:textFill>
              </w:rPr>
              <w:t>设计</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4</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6</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机电控制工程基础</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eastAsiaTheme="minorEastAsia"/>
                <w:color w:val="000000" w:themeColor="text1"/>
                <w:sz w:val="24"/>
                <w:szCs w:val="24"/>
                <w14:textFill>
                  <w14:solidFill>
                    <w14:schemeClr w14:val="tx1"/>
                  </w14:solidFill>
                </w14:textFill>
              </w:rPr>
            </w:pPr>
            <w:r>
              <w:rPr>
                <w:rFonts w:hint="eastAsia" w:ascii="Times New Roman" w:hAnsi="Times New Roman"/>
                <w:sz w:val="24"/>
                <w:szCs w:val="24"/>
              </w:rPr>
              <w:t>2</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7</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液压气动技术</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8</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ascii="Times New Roman" w:hAnsi="Times New Roman"/>
                <w:sz w:val="24"/>
                <w:szCs w:val="24"/>
              </w:rPr>
              <w:t>传感器与测试技术</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3</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9</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汽车构造（本）</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10</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新能源汽车技术</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4</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11</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汽车服务工程</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4</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12</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汽车服务信息系统</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4</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13</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汽车电器与电子控制技术</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4</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14</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汽车专业英语（本）</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eastAsiaTheme="minorEastAsia"/>
                <w:color w:val="000000" w:themeColor="text1"/>
                <w:sz w:val="24"/>
                <w:szCs w:val="24"/>
                <w14:textFill>
                  <w14:solidFill>
                    <w14:schemeClr w14:val="tx1"/>
                  </w14:solidFill>
                </w14:textFill>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3</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15</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汽车检测与故障诊断技术</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eastAsiaTheme="minorEastAsia"/>
                <w:color w:val="000000" w:themeColor="text1"/>
                <w:sz w:val="24"/>
                <w:szCs w:val="24"/>
                <w14:textFill>
                  <w14:solidFill>
                    <w14:schemeClr w14:val="tx1"/>
                  </w14:solidFill>
                </w14:textFill>
              </w:rPr>
              <w:t>54</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5</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16</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汽车排放与噪声控制</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eastAsiaTheme="minorEastAsia"/>
                <w:color w:val="000000" w:themeColor="text1"/>
                <w:sz w:val="24"/>
                <w:szCs w:val="24"/>
                <w14:textFill>
                  <w14:solidFill>
                    <w14:schemeClr w14:val="tx1"/>
                  </w14:solidFill>
                </w14:textFill>
              </w:rPr>
              <w:t>54</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5</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17</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汽车保险与理赔（本）</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eastAsiaTheme="minorEastAsia"/>
                <w:color w:val="000000" w:themeColor="text1"/>
                <w:sz w:val="24"/>
                <w:szCs w:val="24"/>
                <w14:textFill>
                  <w14:solidFill>
                    <w14:schemeClr w14:val="tx1"/>
                  </w14:solidFill>
                </w14:textFill>
              </w:rPr>
              <w:t>54</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5</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18</w:t>
            </w:r>
          </w:p>
        </w:tc>
        <w:tc>
          <w:tcPr>
            <w:tcW w:w="2157" w:type="pct"/>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汽车电子商务（本）</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eastAsiaTheme="minorEastAsia"/>
                <w:color w:val="000000" w:themeColor="text1"/>
                <w:sz w:val="24"/>
                <w:szCs w:val="24"/>
                <w14:textFill>
                  <w14:solidFill>
                    <w14:schemeClr w14:val="tx1"/>
                  </w14:solidFill>
                </w14:textFill>
              </w:rPr>
              <w:t>54</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5</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19</w:t>
            </w:r>
          </w:p>
        </w:tc>
        <w:tc>
          <w:tcPr>
            <w:tcW w:w="215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计算机绘图（本）</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eastAsiaTheme="minorEastAsia"/>
                <w:color w:val="000000" w:themeColor="text1"/>
                <w:sz w:val="24"/>
                <w:szCs w:val="24"/>
                <w14:textFill>
                  <w14:solidFill>
                    <w14:schemeClr w14:val="tx1"/>
                  </w14:solidFill>
                </w14:textFill>
              </w:rPr>
              <w:t>54</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20</w:t>
            </w:r>
          </w:p>
        </w:tc>
        <w:tc>
          <w:tcPr>
            <w:tcW w:w="215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机械原理（本）</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1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21</w:t>
            </w:r>
          </w:p>
        </w:tc>
        <w:tc>
          <w:tcPr>
            <w:tcW w:w="215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机械设计基础（本）</w:t>
            </w:r>
          </w:p>
        </w:tc>
        <w:tc>
          <w:tcPr>
            <w:tcW w:w="74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72</w:t>
            </w:r>
          </w:p>
        </w:tc>
        <w:tc>
          <w:tcPr>
            <w:tcW w:w="93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3</w:t>
            </w:r>
          </w:p>
        </w:tc>
        <w:tc>
          <w:tcPr>
            <w:tcW w:w="84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已有</w:t>
            </w:r>
          </w:p>
        </w:tc>
      </w:tr>
    </w:tbl>
    <w:p>
      <w:pPr>
        <w:spacing w:after="156" w:afterLines="50" w:line="580" w:lineRule="exact"/>
        <w:jc w:val="center"/>
        <w:rPr>
          <w:rFonts w:ascii="Times New Roman" w:hAnsi="Times New Roman" w:eastAsia="黑体"/>
          <w:bCs/>
          <w:sz w:val="32"/>
          <w:szCs w:val="32"/>
        </w:rPr>
      </w:pPr>
      <w:r>
        <w:rPr>
          <w:rFonts w:ascii="Times New Roman" w:hAnsi="黑体" w:eastAsia="黑体"/>
          <w:bCs/>
          <w:sz w:val="32"/>
          <w:szCs w:val="32"/>
        </w:rPr>
        <w:t>增设专业基本办学条件</w:t>
      </w:r>
    </w:p>
    <w:tbl>
      <w:tblPr>
        <w:tblStyle w:val="11"/>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573"/>
        <w:gridCol w:w="900"/>
        <w:gridCol w:w="895"/>
        <w:gridCol w:w="1619"/>
        <w:gridCol w:w="403"/>
        <w:gridCol w:w="497"/>
        <w:gridCol w:w="1080"/>
        <w:gridCol w:w="696"/>
        <w:gridCol w:w="544"/>
        <w:gridCol w:w="653"/>
        <w:gridCol w:w="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专业名称</w:t>
            </w:r>
          </w:p>
        </w:tc>
        <w:tc>
          <w:tcPr>
            <w:tcW w:w="4314"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车辆工程</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eastAsiaTheme="minorEastAsia"/>
                <w:sz w:val="24"/>
                <w:szCs w:val="24"/>
              </w:rPr>
            </w:pPr>
            <w:r>
              <w:rPr>
                <w:rFonts w:ascii="Times New Roman" w:hAnsi="Times New Roman" w:eastAsiaTheme="minorEastAsia"/>
                <w:sz w:val="24"/>
                <w:szCs w:val="24"/>
              </w:rPr>
              <w:t>开办</w:t>
            </w:r>
          </w:p>
          <w:p>
            <w:pPr>
              <w:spacing w:line="320" w:lineRule="exact"/>
              <w:rPr>
                <w:rFonts w:ascii="Times New Roman" w:hAnsi="Times New Roman" w:eastAsiaTheme="minorEastAsia"/>
                <w:sz w:val="24"/>
                <w:szCs w:val="24"/>
              </w:rPr>
            </w:pPr>
            <w:r>
              <w:rPr>
                <w:rFonts w:ascii="Times New Roman" w:hAnsi="Times New Roman" w:eastAsiaTheme="minorEastAsia"/>
                <w:sz w:val="24"/>
                <w:szCs w:val="24"/>
              </w:rPr>
              <w:t>经费</w:t>
            </w:r>
          </w:p>
        </w:tc>
        <w:tc>
          <w:tcPr>
            <w:tcW w:w="2397"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50万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申报专业副高及以上职称（在岗）人数</w:t>
            </w:r>
          </w:p>
        </w:tc>
        <w:tc>
          <w:tcPr>
            <w:tcW w:w="8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5</w:t>
            </w:r>
          </w:p>
        </w:tc>
        <w:tc>
          <w:tcPr>
            <w:tcW w:w="161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hint="eastAsia" w:ascii="Times New Roman" w:hAnsi="Times New Roman" w:eastAsiaTheme="minorEastAsia"/>
                <w:sz w:val="24"/>
                <w:szCs w:val="24"/>
              </w:rPr>
              <w:t>其中该专业</w:t>
            </w:r>
          </w:p>
          <w:p>
            <w:pPr>
              <w:spacing w:line="320" w:lineRule="exact"/>
              <w:jc w:val="center"/>
              <w:rPr>
                <w:rFonts w:ascii="Times New Roman" w:hAnsi="Times New Roman" w:eastAsiaTheme="minorEastAsia"/>
                <w:sz w:val="24"/>
                <w:szCs w:val="24"/>
              </w:rPr>
            </w:pPr>
            <w:r>
              <w:rPr>
                <w:rFonts w:hint="eastAsia" w:ascii="Times New Roman" w:hAnsi="Times New Roman" w:eastAsiaTheme="minorEastAsia"/>
                <w:sz w:val="24"/>
                <w:szCs w:val="24"/>
              </w:rPr>
              <w:t>专职在岗</w:t>
            </w:r>
          </w:p>
          <w:p>
            <w:pPr>
              <w:spacing w:line="320" w:lineRule="exact"/>
              <w:jc w:val="center"/>
              <w:rPr>
                <w:rFonts w:ascii="Times New Roman" w:hAnsi="Times New Roman" w:eastAsiaTheme="minorEastAsia"/>
                <w:sz w:val="24"/>
                <w:szCs w:val="24"/>
              </w:rPr>
            </w:pPr>
            <w:r>
              <w:rPr>
                <w:rFonts w:hint="eastAsia" w:ascii="Times New Roman" w:hAnsi="Times New Roman" w:eastAsiaTheme="minorEastAsia"/>
                <w:sz w:val="24"/>
                <w:szCs w:val="24"/>
              </w:rPr>
              <w:t>人数</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5</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hint="eastAsia" w:ascii="Times New Roman" w:hAnsi="Times New Roman" w:eastAsiaTheme="minorEastAsia"/>
                <w:sz w:val="24"/>
                <w:szCs w:val="24"/>
              </w:rPr>
              <w:t>其中校内兼职人数</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p>
          <w:p>
            <w:pPr>
              <w:spacing w:line="320" w:lineRule="exact"/>
              <w:jc w:val="center"/>
              <w:rPr>
                <w:rFonts w:ascii="Times New Roman" w:hAnsi="Times New Roman" w:eastAsiaTheme="minorEastAsia"/>
                <w:sz w:val="24"/>
                <w:szCs w:val="24"/>
              </w:rPr>
            </w:pPr>
          </w:p>
        </w:tc>
        <w:tc>
          <w:tcPr>
            <w:tcW w:w="119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hint="eastAsia" w:ascii="Times New Roman" w:hAnsi="Times New Roman" w:eastAsiaTheme="minorEastAsia"/>
                <w:sz w:val="24"/>
                <w:szCs w:val="24"/>
              </w:rPr>
              <w:t>其中校外兼职人数</w:t>
            </w:r>
          </w:p>
        </w:tc>
        <w:tc>
          <w:tcPr>
            <w:tcW w:w="50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8"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可用于新专业的</w:t>
            </w:r>
          </w:p>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教学图书（万册）</w:t>
            </w:r>
          </w:p>
        </w:tc>
        <w:tc>
          <w:tcPr>
            <w:tcW w:w="895" w:type="dxa"/>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color w:val="000000" w:themeColor="text1"/>
                <w:kern w:val="0"/>
                <w:sz w:val="24"/>
                <w:szCs w:val="24"/>
                <w14:textFill>
                  <w14:solidFill>
                    <w14:schemeClr w14:val="tx1"/>
                  </w14:solidFill>
                </w14:textFill>
              </w:rPr>
              <w:t>12</w:t>
            </w:r>
          </w:p>
        </w:tc>
        <w:tc>
          <w:tcPr>
            <w:tcW w:w="2022"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可用于该专业的</w:t>
            </w:r>
          </w:p>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教学实验设备</w:t>
            </w:r>
          </w:p>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（千元以上）</w:t>
            </w:r>
          </w:p>
        </w:tc>
        <w:tc>
          <w:tcPr>
            <w:tcW w:w="1577"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color w:val="000000" w:themeColor="text1"/>
                <w:kern w:val="0"/>
                <w:sz w:val="24"/>
                <w:szCs w:val="24"/>
                <w14:textFill>
                  <w14:solidFill>
                    <w14:schemeClr w14:val="tx1"/>
                  </w14:solidFill>
                </w14:textFill>
              </w:rPr>
              <w:t>120（台/件）</w:t>
            </w:r>
          </w:p>
        </w:tc>
        <w:tc>
          <w:tcPr>
            <w:tcW w:w="1240"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总价值</w:t>
            </w:r>
          </w:p>
          <w:p>
            <w:pPr>
              <w:spacing w:line="320" w:lineRule="exact"/>
              <w:jc w:val="center"/>
              <w:rPr>
                <w:rFonts w:ascii="Times New Roman" w:hAnsi="Times New Roman" w:eastAsiaTheme="minorEastAsia"/>
                <w:sz w:val="24"/>
                <w:szCs w:val="24"/>
              </w:rPr>
            </w:pPr>
            <w:r>
              <w:rPr>
                <w:rFonts w:ascii="Times New Roman" w:hAnsi="Times New Roman" w:eastAsiaTheme="minorEastAsia"/>
                <w:sz w:val="24"/>
                <w:szCs w:val="24"/>
              </w:rPr>
              <w:t>（万元）</w:t>
            </w:r>
          </w:p>
        </w:tc>
        <w:tc>
          <w:tcPr>
            <w:tcW w:w="1157"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eastAsiaTheme="minorEastAsia"/>
                <w:sz w:val="24"/>
                <w:szCs w:val="24"/>
              </w:rPr>
            </w:pPr>
            <w:r>
              <w:rPr>
                <w:rFonts w:ascii="Times New Roman" w:hAnsi="Times New Roman" w:eastAsiaTheme="minorEastAsia"/>
                <w:color w:val="000000" w:themeColor="text1"/>
                <w:kern w:val="0"/>
                <w:sz w:val="24"/>
                <w:szCs w:val="24"/>
                <w14:textFill>
                  <w14:solidFill>
                    <w14:schemeClr w14:val="tx1"/>
                  </w14:solidFill>
                </w14:textFill>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序</w:t>
            </w:r>
          </w:p>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号</w:t>
            </w:r>
          </w:p>
        </w:tc>
        <w:tc>
          <w:tcPr>
            <w:tcW w:w="4390" w:type="dxa"/>
            <w:gridSpan w:val="5"/>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主要教学设备名称（</w:t>
            </w:r>
            <w:r>
              <w:rPr>
                <w:rFonts w:ascii="Times New Roman" w:hAnsi="Times New Roman" w:eastAsiaTheme="minorEastAsia"/>
                <w:sz w:val="24"/>
                <w:szCs w:val="24"/>
              </w:rPr>
              <w:t>限20</w:t>
            </w:r>
            <w:r>
              <w:rPr>
                <w:rFonts w:asciiTheme="minorEastAsia" w:hAnsiTheme="minorEastAsia" w:eastAsiaTheme="minorEastAsia"/>
                <w:sz w:val="24"/>
                <w:szCs w:val="24"/>
              </w:rPr>
              <w:t>项）</w:t>
            </w:r>
          </w:p>
        </w:tc>
        <w:tc>
          <w:tcPr>
            <w:tcW w:w="1577" w:type="dxa"/>
            <w:gridSpan w:val="2"/>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型号</w:t>
            </w:r>
          </w:p>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规格</w:t>
            </w:r>
          </w:p>
        </w:tc>
        <w:tc>
          <w:tcPr>
            <w:tcW w:w="696" w:type="dxa"/>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台(件)</w:t>
            </w:r>
          </w:p>
        </w:tc>
        <w:tc>
          <w:tcPr>
            <w:tcW w:w="1701" w:type="dxa"/>
            <w:gridSpan w:val="3"/>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购入时间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w:t>
            </w:r>
          </w:p>
        </w:tc>
        <w:tc>
          <w:tcPr>
            <w:tcW w:w="4390"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rPr>
            </w:pPr>
            <w:r>
              <w:rPr>
                <w:rFonts w:ascii="Times New Roman" w:hAnsi="Times New Roman"/>
              </w:rPr>
              <w:t>计算机</w:t>
            </w:r>
          </w:p>
        </w:tc>
        <w:tc>
          <w:tcPr>
            <w:tcW w:w="157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rPr>
            </w:pPr>
            <w:r>
              <w:rPr>
                <w:rFonts w:ascii="Times New Roman" w:hAnsi="Times New Roman"/>
              </w:rPr>
              <w:t>联想</w:t>
            </w:r>
          </w:p>
        </w:tc>
        <w:tc>
          <w:tcPr>
            <w:tcW w:w="696"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rPr>
            </w:pPr>
            <w:r>
              <w:rPr>
                <w:rFonts w:ascii="Times New Roman" w:hAnsi="Times New Roman"/>
              </w:rPr>
              <w:t>100</w:t>
            </w:r>
          </w:p>
        </w:tc>
        <w:tc>
          <w:tcPr>
            <w:tcW w:w="170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rPr>
            </w:pPr>
            <w:r>
              <w:rPr>
                <w:rFonts w:ascii="Times New Roman" w:hAnsi="Times New Roman"/>
              </w:rPr>
              <w:t>2015年1月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2</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多媒体投影仪</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明基（BenQ）</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8</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2015年6月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3</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多媒体教室</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30</w:t>
            </w:r>
            <w:r>
              <w:rPr>
                <w:rFonts w:hint="eastAsia" w:ascii="Times New Roman" w:hAnsi="Times New Roman"/>
              </w:rPr>
              <w:t>间</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4</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网络教室</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8</w:t>
            </w:r>
            <w:r>
              <w:rPr>
                <w:rFonts w:hint="eastAsia" w:ascii="Times New Roman" w:hAnsi="Times New Roman"/>
              </w:rPr>
              <w:t>间</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5</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发动机总成及实训台架</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EQ1118</w:t>
            </w:r>
            <w:r>
              <w:rPr>
                <w:rFonts w:hint="eastAsia" w:ascii="Times New Roman" w:hAnsi="Times New Roman"/>
              </w:rPr>
              <w:t>车用</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6</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变速器总成</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EQ1118</w:t>
            </w:r>
            <w:r>
              <w:rPr>
                <w:rFonts w:hint="eastAsia" w:ascii="Times New Roman" w:hAnsi="Times New Roman"/>
              </w:rPr>
              <w:t>车用</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7</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前桥总成</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EQ1118</w:t>
            </w:r>
            <w:r>
              <w:rPr>
                <w:rFonts w:hint="eastAsia" w:ascii="Times New Roman" w:hAnsi="Times New Roman"/>
              </w:rPr>
              <w:t>车用</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8</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后桥总成</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EQ1118</w:t>
            </w:r>
            <w:r>
              <w:rPr>
                <w:rFonts w:hint="eastAsia" w:ascii="Times New Roman" w:hAnsi="Times New Roman"/>
              </w:rPr>
              <w:t>车用</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9</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电气设备总成</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EQ1118</w:t>
            </w:r>
            <w:r>
              <w:rPr>
                <w:rFonts w:hint="eastAsia" w:ascii="Times New Roman" w:hAnsi="Times New Roman"/>
              </w:rPr>
              <w:t>车用</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w:t>
            </w:r>
            <w:r>
              <w:rPr>
                <w:rFonts w:hint="eastAsia" w:ascii="Times New Roman" w:hAnsi="Times New Roman"/>
              </w:rPr>
              <w:t>套</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10</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自动变速器台架</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本田车用</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4</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11</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ABS</w:t>
            </w:r>
            <w:r>
              <w:rPr>
                <w:rFonts w:hint="eastAsia" w:ascii="Times New Roman" w:hAnsi="Times New Roman"/>
              </w:rPr>
              <w:t>台架</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大众</w:t>
            </w: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4</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hAnsi="Times New Roman"/>
                <w:szCs w:val="24"/>
              </w:rPr>
              <w:t>12</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车辆维修保障设备</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hint="eastAsia" w:ascii="Times New Roman" w:hAnsi="Times New Roman"/>
              </w:rPr>
              <w:t>若干</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rPr>
            </w:pPr>
            <w:r>
              <w:rPr>
                <w:rFonts w:ascii="Times New Roman" w:hAnsi="Times New Roman"/>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p>
        </w:tc>
        <w:tc>
          <w:tcPr>
            <w:tcW w:w="439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69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p>
        </w:tc>
      </w:tr>
    </w:tbl>
    <w:p>
      <w:pPr>
        <w:spacing w:line="580" w:lineRule="exact"/>
        <w:rPr>
          <w:rFonts w:ascii="Times New Roman" w:hAnsi="Times New Roman" w:eastAsia="黑体"/>
          <w:bCs/>
          <w:sz w:val="32"/>
          <w:szCs w:val="32"/>
        </w:rPr>
      </w:pPr>
    </w:p>
    <w:sectPr>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隶书">
    <w:panose1 w:val="0201050906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variable"/>
    <w:sig w:usb0="80000287" w:usb1="280F3C52" w:usb2="00000016" w:usb3="00000000" w:csb0="0004001F" w:csb1="00000000"/>
  </w:font>
  <w:font w:name="&amp;quot">
    <w:altName w:val="Times New Roman"/>
    <w:panose1 w:val="00000000000000000000"/>
    <w:charset w:val="00"/>
    <w:family w:val="roman"/>
    <w:pitch w:val="default"/>
    <w:sig w:usb0="00000000" w:usb1="00000000" w:usb2="00000000" w:usb3="00000000" w:csb0="00000000" w:csb1="00000000"/>
  </w:font>
  <w:font w:name="方正书宋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72394"/>
    </w:sdtPr>
    <w:sdtEndPr>
      <w:rPr>
        <w:rFonts w:ascii="Times New Roman" w:hAnsi="Times New Roman"/>
      </w:rPr>
    </w:sdtEndPr>
    <w:sdtContent>
      <w:p>
        <w:pPr>
          <w:pStyle w:val="7"/>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lang w:val="zh-CN"/>
          </w:rPr>
          <w:t>33</w:t>
        </w:r>
        <w:r>
          <w:rPr>
            <w:rFonts w:ascii="Times New Roman" w:hAnsi="Times New Roman"/>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E3F37"/>
    <w:multiLevelType w:val="multilevel"/>
    <w:tmpl w:val="708E3F37"/>
    <w:lvl w:ilvl="0" w:tentative="0">
      <w:start w:val="1"/>
      <w:numFmt w:val="japaneseCounting"/>
      <w:lvlText w:val="%1、"/>
      <w:lvlJc w:val="left"/>
      <w:pPr>
        <w:ind w:left="960" w:hanging="48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00C7F"/>
    <w:rsid w:val="0000426B"/>
    <w:rsid w:val="00007164"/>
    <w:rsid w:val="00010FFA"/>
    <w:rsid w:val="000133A4"/>
    <w:rsid w:val="00013468"/>
    <w:rsid w:val="00034335"/>
    <w:rsid w:val="00035E3B"/>
    <w:rsid w:val="0003614F"/>
    <w:rsid w:val="00041846"/>
    <w:rsid w:val="0005108C"/>
    <w:rsid w:val="0006605C"/>
    <w:rsid w:val="00072EDE"/>
    <w:rsid w:val="000730D5"/>
    <w:rsid w:val="00074AB4"/>
    <w:rsid w:val="000800E7"/>
    <w:rsid w:val="00082501"/>
    <w:rsid w:val="00093DF0"/>
    <w:rsid w:val="00094885"/>
    <w:rsid w:val="000A0121"/>
    <w:rsid w:val="000A5B9F"/>
    <w:rsid w:val="000B2A08"/>
    <w:rsid w:val="000B425E"/>
    <w:rsid w:val="000C1901"/>
    <w:rsid w:val="000C3900"/>
    <w:rsid w:val="000C4BC2"/>
    <w:rsid w:val="000C6599"/>
    <w:rsid w:val="000D60E6"/>
    <w:rsid w:val="000E276D"/>
    <w:rsid w:val="000E2FF4"/>
    <w:rsid w:val="000E34CF"/>
    <w:rsid w:val="000E488F"/>
    <w:rsid w:val="000E7C8F"/>
    <w:rsid w:val="000F0F5D"/>
    <w:rsid w:val="000F2763"/>
    <w:rsid w:val="000F3B5F"/>
    <w:rsid w:val="000F7B4A"/>
    <w:rsid w:val="00102683"/>
    <w:rsid w:val="0010600D"/>
    <w:rsid w:val="0011251A"/>
    <w:rsid w:val="001139EB"/>
    <w:rsid w:val="00114AC1"/>
    <w:rsid w:val="0011577B"/>
    <w:rsid w:val="00120DAC"/>
    <w:rsid w:val="00122AD9"/>
    <w:rsid w:val="00123D86"/>
    <w:rsid w:val="00124F62"/>
    <w:rsid w:val="0012770D"/>
    <w:rsid w:val="00132255"/>
    <w:rsid w:val="00132F60"/>
    <w:rsid w:val="00133C94"/>
    <w:rsid w:val="00134A13"/>
    <w:rsid w:val="00134DC5"/>
    <w:rsid w:val="00135495"/>
    <w:rsid w:val="00143FB4"/>
    <w:rsid w:val="00163709"/>
    <w:rsid w:val="00185620"/>
    <w:rsid w:val="00185770"/>
    <w:rsid w:val="001A030E"/>
    <w:rsid w:val="001A2908"/>
    <w:rsid w:val="001A46F6"/>
    <w:rsid w:val="001A56AA"/>
    <w:rsid w:val="001A6A3B"/>
    <w:rsid w:val="001B10C2"/>
    <w:rsid w:val="001B529D"/>
    <w:rsid w:val="001B756D"/>
    <w:rsid w:val="001C5578"/>
    <w:rsid w:val="001C778F"/>
    <w:rsid w:val="001D1A87"/>
    <w:rsid w:val="001D6A87"/>
    <w:rsid w:val="001E0E97"/>
    <w:rsid w:val="001E5B6E"/>
    <w:rsid w:val="00201BDD"/>
    <w:rsid w:val="00205ED8"/>
    <w:rsid w:val="00214D18"/>
    <w:rsid w:val="002169E7"/>
    <w:rsid w:val="00216B10"/>
    <w:rsid w:val="00224435"/>
    <w:rsid w:val="00225FAE"/>
    <w:rsid w:val="002267D5"/>
    <w:rsid w:val="00233920"/>
    <w:rsid w:val="00234B19"/>
    <w:rsid w:val="0025475D"/>
    <w:rsid w:val="00256232"/>
    <w:rsid w:val="00264D9F"/>
    <w:rsid w:val="002650E5"/>
    <w:rsid w:val="00266996"/>
    <w:rsid w:val="00267071"/>
    <w:rsid w:val="0027149C"/>
    <w:rsid w:val="00271790"/>
    <w:rsid w:val="00271D3F"/>
    <w:rsid w:val="002825FD"/>
    <w:rsid w:val="0028454E"/>
    <w:rsid w:val="00286C19"/>
    <w:rsid w:val="00295554"/>
    <w:rsid w:val="002957F5"/>
    <w:rsid w:val="002969B1"/>
    <w:rsid w:val="002969C5"/>
    <w:rsid w:val="002A004E"/>
    <w:rsid w:val="002A172D"/>
    <w:rsid w:val="002A6F4A"/>
    <w:rsid w:val="002A7D3B"/>
    <w:rsid w:val="002B0588"/>
    <w:rsid w:val="002B1F37"/>
    <w:rsid w:val="002B680C"/>
    <w:rsid w:val="002B730E"/>
    <w:rsid w:val="002C2C89"/>
    <w:rsid w:val="002D2850"/>
    <w:rsid w:val="002D35D4"/>
    <w:rsid w:val="002D4D3F"/>
    <w:rsid w:val="002E341C"/>
    <w:rsid w:val="002F2750"/>
    <w:rsid w:val="002F5CCD"/>
    <w:rsid w:val="00302280"/>
    <w:rsid w:val="003027FE"/>
    <w:rsid w:val="00304979"/>
    <w:rsid w:val="003055CD"/>
    <w:rsid w:val="00305C6E"/>
    <w:rsid w:val="00306EC8"/>
    <w:rsid w:val="00310254"/>
    <w:rsid w:val="00311262"/>
    <w:rsid w:val="00320333"/>
    <w:rsid w:val="0032344C"/>
    <w:rsid w:val="00325706"/>
    <w:rsid w:val="00333985"/>
    <w:rsid w:val="00336C03"/>
    <w:rsid w:val="0034080C"/>
    <w:rsid w:val="003431B1"/>
    <w:rsid w:val="00350F27"/>
    <w:rsid w:val="00351658"/>
    <w:rsid w:val="00363053"/>
    <w:rsid w:val="00367A2E"/>
    <w:rsid w:val="00370CDD"/>
    <w:rsid w:val="00371FD0"/>
    <w:rsid w:val="00381F35"/>
    <w:rsid w:val="00381FA5"/>
    <w:rsid w:val="0039436C"/>
    <w:rsid w:val="003968B2"/>
    <w:rsid w:val="00397937"/>
    <w:rsid w:val="003A3DC8"/>
    <w:rsid w:val="003A667A"/>
    <w:rsid w:val="003A72EE"/>
    <w:rsid w:val="003A7C56"/>
    <w:rsid w:val="003B515A"/>
    <w:rsid w:val="003C2745"/>
    <w:rsid w:val="003C6B3A"/>
    <w:rsid w:val="003C6FB0"/>
    <w:rsid w:val="003C7D37"/>
    <w:rsid w:val="003D3653"/>
    <w:rsid w:val="003D4847"/>
    <w:rsid w:val="003D4C97"/>
    <w:rsid w:val="003E5E31"/>
    <w:rsid w:val="003E6F42"/>
    <w:rsid w:val="003F61C6"/>
    <w:rsid w:val="00402BA5"/>
    <w:rsid w:val="00410D6B"/>
    <w:rsid w:val="00414305"/>
    <w:rsid w:val="00414F19"/>
    <w:rsid w:val="00422B1E"/>
    <w:rsid w:val="00426980"/>
    <w:rsid w:val="00427B43"/>
    <w:rsid w:val="00433242"/>
    <w:rsid w:val="00433C51"/>
    <w:rsid w:val="00437B86"/>
    <w:rsid w:val="00440CB7"/>
    <w:rsid w:val="00447E2A"/>
    <w:rsid w:val="00451AFD"/>
    <w:rsid w:val="0045504E"/>
    <w:rsid w:val="004571F6"/>
    <w:rsid w:val="0045780A"/>
    <w:rsid w:val="0046565A"/>
    <w:rsid w:val="0046614B"/>
    <w:rsid w:val="00473714"/>
    <w:rsid w:val="0047614D"/>
    <w:rsid w:val="004860D8"/>
    <w:rsid w:val="00493626"/>
    <w:rsid w:val="00495BE9"/>
    <w:rsid w:val="00496FB6"/>
    <w:rsid w:val="004A1652"/>
    <w:rsid w:val="004A677A"/>
    <w:rsid w:val="004B3C2A"/>
    <w:rsid w:val="004C347D"/>
    <w:rsid w:val="004C3B82"/>
    <w:rsid w:val="004C5715"/>
    <w:rsid w:val="004D05F2"/>
    <w:rsid w:val="004D6C33"/>
    <w:rsid w:val="004F2BBF"/>
    <w:rsid w:val="004F31A0"/>
    <w:rsid w:val="004F4814"/>
    <w:rsid w:val="004F4884"/>
    <w:rsid w:val="0050453D"/>
    <w:rsid w:val="0052106D"/>
    <w:rsid w:val="00525A38"/>
    <w:rsid w:val="00530F73"/>
    <w:rsid w:val="00531B7F"/>
    <w:rsid w:val="0055067B"/>
    <w:rsid w:val="00557CE0"/>
    <w:rsid w:val="00557F36"/>
    <w:rsid w:val="00560CA3"/>
    <w:rsid w:val="0056328F"/>
    <w:rsid w:val="00563B06"/>
    <w:rsid w:val="005703A1"/>
    <w:rsid w:val="00570AB6"/>
    <w:rsid w:val="005738C4"/>
    <w:rsid w:val="0058094A"/>
    <w:rsid w:val="00582C8C"/>
    <w:rsid w:val="0058367F"/>
    <w:rsid w:val="0058580E"/>
    <w:rsid w:val="005859C6"/>
    <w:rsid w:val="005867EA"/>
    <w:rsid w:val="005914D7"/>
    <w:rsid w:val="005915FD"/>
    <w:rsid w:val="00593E2E"/>
    <w:rsid w:val="00594B23"/>
    <w:rsid w:val="00597137"/>
    <w:rsid w:val="005A0E03"/>
    <w:rsid w:val="005A780A"/>
    <w:rsid w:val="005B0C8E"/>
    <w:rsid w:val="005C54AE"/>
    <w:rsid w:val="005D7A68"/>
    <w:rsid w:val="005E54FD"/>
    <w:rsid w:val="005F0371"/>
    <w:rsid w:val="005F272E"/>
    <w:rsid w:val="005F4B42"/>
    <w:rsid w:val="00605EA5"/>
    <w:rsid w:val="006114F3"/>
    <w:rsid w:val="00616F32"/>
    <w:rsid w:val="00617445"/>
    <w:rsid w:val="006227F5"/>
    <w:rsid w:val="0062597E"/>
    <w:rsid w:val="006264F4"/>
    <w:rsid w:val="00626BDE"/>
    <w:rsid w:val="0063015C"/>
    <w:rsid w:val="006324F8"/>
    <w:rsid w:val="006376BE"/>
    <w:rsid w:val="00651DFA"/>
    <w:rsid w:val="00657F55"/>
    <w:rsid w:val="006611AB"/>
    <w:rsid w:val="006626AA"/>
    <w:rsid w:val="006631B5"/>
    <w:rsid w:val="006671AC"/>
    <w:rsid w:val="00671530"/>
    <w:rsid w:val="00675FAA"/>
    <w:rsid w:val="00681F47"/>
    <w:rsid w:val="00695BA9"/>
    <w:rsid w:val="006A1739"/>
    <w:rsid w:val="006B48B1"/>
    <w:rsid w:val="006B6675"/>
    <w:rsid w:val="006B7B64"/>
    <w:rsid w:val="006C1E6A"/>
    <w:rsid w:val="006C6A67"/>
    <w:rsid w:val="006C73C6"/>
    <w:rsid w:val="006D20C3"/>
    <w:rsid w:val="006D4395"/>
    <w:rsid w:val="006D774B"/>
    <w:rsid w:val="006E064F"/>
    <w:rsid w:val="006E0FFF"/>
    <w:rsid w:val="006F0C0E"/>
    <w:rsid w:val="006F3986"/>
    <w:rsid w:val="006F6D8C"/>
    <w:rsid w:val="00705DA8"/>
    <w:rsid w:val="007145F6"/>
    <w:rsid w:val="00715E0B"/>
    <w:rsid w:val="007201D0"/>
    <w:rsid w:val="007239FD"/>
    <w:rsid w:val="00723EB6"/>
    <w:rsid w:val="00724D99"/>
    <w:rsid w:val="00740B2D"/>
    <w:rsid w:val="00741D18"/>
    <w:rsid w:val="00741F44"/>
    <w:rsid w:val="0074757E"/>
    <w:rsid w:val="00747B7D"/>
    <w:rsid w:val="00747CDA"/>
    <w:rsid w:val="0075180B"/>
    <w:rsid w:val="0076171E"/>
    <w:rsid w:val="0077054F"/>
    <w:rsid w:val="00774D19"/>
    <w:rsid w:val="0078288C"/>
    <w:rsid w:val="00793B09"/>
    <w:rsid w:val="007A0968"/>
    <w:rsid w:val="007A1F7E"/>
    <w:rsid w:val="007A2B29"/>
    <w:rsid w:val="007A3030"/>
    <w:rsid w:val="007A56A2"/>
    <w:rsid w:val="007B61DB"/>
    <w:rsid w:val="007D02CE"/>
    <w:rsid w:val="007D07F5"/>
    <w:rsid w:val="007E042E"/>
    <w:rsid w:val="007E2EA4"/>
    <w:rsid w:val="007E3578"/>
    <w:rsid w:val="007E5198"/>
    <w:rsid w:val="007E645F"/>
    <w:rsid w:val="007F4A87"/>
    <w:rsid w:val="007F77FE"/>
    <w:rsid w:val="00800444"/>
    <w:rsid w:val="00800F71"/>
    <w:rsid w:val="008038D4"/>
    <w:rsid w:val="00805050"/>
    <w:rsid w:val="008055F3"/>
    <w:rsid w:val="0080783B"/>
    <w:rsid w:val="008149B1"/>
    <w:rsid w:val="0081557B"/>
    <w:rsid w:val="00827066"/>
    <w:rsid w:val="00844EB6"/>
    <w:rsid w:val="00847D36"/>
    <w:rsid w:val="00853A04"/>
    <w:rsid w:val="00854102"/>
    <w:rsid w:val="00856A88"/>
    <w:rsid w:val="00857928"/>
    <w:rsid w:val="008754BA"/>
    <w:rsid w:val="008912B8"/>
    <w:rsid w:val="00895368"/>
    <w:rsid w:val="00896668"/>
    <w:rsid w:val="008A5EDD"/>
    <w:rsid w:val="008A7DDE"/>
    <w:rsid w:val="008B1CDD"/>
    <w:rsid w:val="008C13A0"/>
    <w:rsid w:val="008D5C2E"/>
    <w:rsid w:val="008D7DD5"/>
    <w:rsid w:val="008E04F2"/>
    <w:rsid w:val="008E658E"/>
    <w:rsid w:val="008F0570"/>
    <w:rsid w:val="00900713"/>
    <w:rsid w:val="00904DBC"/>
    <w:rsid w:val="00907719"/>
    <w:rsid w:val="00911588"/>
    <w:rsid w:val="009134E4"/>
    <w:rsid w:val="009172E4"/>
    <w:rsid w:val="00917307"/>
    <w:rsid w:val="00920110"/>
    <w:rsid w:val="0092543E"/>
    <w:rsid w:val="00926266"/>
    <w:rsid w:val="00932790"/>
    <w:rsid w:val="009340C1"/>
    <w:rsid w:val="00935BE1"/>
    <w:rsid w:val="0094036F"/>
    <w:rsid w:val="00945AAD"/>
    <w:rsid w:val="00945C98"/>
    <w:rsid w:val="00946705"/>
    <w:rsid w:val="00953EB7"/>
    <w:rsid w:val="0095567D"/>
    <w:rsid w:val="009574D8"/>
    <w:rsid w:val="009633F7"/>
    <w:rsid w:val="00976E05"/>
    <w:rsid w:val="00980420"/>
    <w:rsid w:val="00982F03"/>
    <w:rsid w:val="00993D32"/>
    <w:rsid w:val="0099452D"/>
    <w:rsid w:val="00994F84"/>
    <w:rsid w:val="009A5388"/>
    <w:rsid w:val="009A5B13"/>
    <w:rsid w:val="009A5FA4"/>
    <w:rsid w:val="009A7FB3"/>
    <w:rsid w:val="009B0CFF"/>
    <w:rsid w:val="009B5CF7"/>
    <w:rsid w:val="009B6EE5"/>
    <w:rsid w:val="009D44FC"/>
    <w:rsid w:val="009E102B"/>
    <w:rsid w:val="009E1451"/>
    <w:rsid w:val="009E1DDC"/>
    <w:rsid w:val="009E35B1"/>
    <w:rsid w:val="009E3AFA"/>
    <w:rsid w:val="009F07DC"/>
    <w:rsid w:val="00A05F7F"/>
    <w:rsid w:val="00A11CE4"/>
    <w:rsid w:val="00A1247A"/>
    <w:rsid w:val="00A14319"/>
    <w:rsid w:val="00A174B0"/>
    <w:rsid w:val="00A20443"/>
    <w:rsid w:val="00A30155"/>
    <w:rsid w:val="00A316B4"/>
    <w:rsid w:val="00A3170E"/>
    <w:rsid w:val="00A347AB"/>
    <w:rsid w:val="00A367B2"/>
    <w:rsid w:val="00A4198D"/>
    <w:rsid w:val="00A564C8"/>
    <w:rsid w:val="00A5776E"/>
    <w:rsid w:val="00A66C01"/>
    <w:rsid w:val="00A71F0D"/>
    <w:rsid w:val="00A73E3B"/>
    <w:rsid w:val="00A74597"/>
    <w:rsid w:val="00A74CFF"/>
    <w:rsid w:val="00A757A1"/>
    <w:rsid w:val="00A86562"/>
    <w:rsid w:val="00A902AF"/>
    <w:rsid w:val="00A95A8C"/>
    <w:rsid w:val="00A9770A"/>
    <w:rsid w:val="00AA1350"/>
    <w:rsid w:val="00AC28AC"/>
    <w:rsid w:val="00AC7AF9"/>
    <w:rsid w:val="00AD2683"/>
    <w:rsid w:val="00AD6E82"/>
    <w:rsid w:val="00AE4E7A"/>
    <w:rsid w:val="00AE79C6"/>
    <w:rsid w:val="00AF04C0"/>
    <w:rsid w:val="00B01157"/>
    <w:rsid w:val="00B0202B"/>
    <w:rsid w:val="00B031AB"/>
    <w:rsid w:val="00B11F9D"/>
    <w:rsid w:val="00B13828"/>
    <w:rsid w:val="00B15D6F"/>
    <w:rsid w:val="00B17635"/>
    <w:rsid w:val="00B207CF"/>
    <w:rsid w:val="00B33F1C"/>
    <w:rsid w:val="00B34CEF"/>
    <w:rsid w:val="00B3743A"/>
    <w:rsid w:val="00B404B8"/>
    <w:rsid w:val="00B420DE"/>
    <w:rsid w:val="00B43499"/>
    <w:rsid w:val="00B454AC"/>
    <w:rsid w:val="00B52E54"/>
    <w:rsid w:val="00B60C2B"/>
    <w:rsid w:val="00B61971"/>
    <w:rsid w:val="00B67195"/>
    <w:rsid w:val="00B70EC6"/>
    <w:rsid w:val="00B82486"/>
    <w:rsid w:val="00B927EB"/>
    <w:rsid w:val="00B938E3"/>
    <w:rsid w:val="00BA244F"/>
    <w:rsid w:val="00BA36AE"/>
    <w:rsid w:val="00BA438E"/>
    <w:rsid w:val="00BA6A44"/>
    <w:rsid w:val="00BB4116"/>
    <w:rsid w:val="00BB5D2E"/>
    <w:rsid w:val="00BB5D49"/>
    <w:rsid w:val="00BB7749"/>
    <w:rsid w:val="00BC0F58"/>
    <w:rsid w:val="00BC4B57"/>
    <w:rsid w:val="00BC4F94"/>
    <w:rsid w:val="00BC5A93"/>
    <w:rsid w:val="00BD29F3"/>
    <w:rsid w:val="00BE0EF3"/>
    <w:rsid w:val="00BE404D"/>
    <w:rsid w:val="00BF00EA"/>
    <w:rsid w:val="00BF114E"/>
    <w:rsid w:val="00C0159F"/>
    <w:rsid w:val="00C1568E"/>
    <w:rsid w:val="00C15CD9"/>
    <w:rsid w:val="00C16E94"/>
    <w:rsid w:val="00C44E79"/>
    <w:rsid w:val="00C47C4C"/>
    <w:rsid w:val="00C53A80"/>
    <w:rsid w:val="00C6753C"/>
    <w:rsid w:val="00C83F32"/>
    <w:rsid w:val="00C8795D"/>
    <w:rsid w:val="00C921C5"/>
    <w:rsid w:val="00CA48F1"/>
    <w:rsid w:val="00CB5D91"/>
    <w:rsid w:val="00CD2C08"/>
    <w:rsid w:val="00CE2594"/>
    <w:rsid w:val="00CE4D0A"/>
    <w:rsid w:val="00CE728E"/>
    <w:rsid w:val="00CF2FA2"/>
    <w:rsid w:val="00D009DA"/>
    <w:rsid w:val="00D03E88"/>
    <w:rsid w:val="00D17331"/>
    <w:rsid w:val="00D17A1F"/>
    <w:rsid w:val="00D17F72"/>
    <w:rsid w:val="00D23044"/>
    <w:rsid w:val="00D32080"/>
    <w:rsid w:val="00D32183"/>
    <w:rsid w:val="00D33339"/>
    <w:rsid w:val="00D43058"/>
    <w:rsid w:val="00D4494C"/>
    <w:rsid w:val="00D46FAF"/>
    <w:rsid w:val="00D4713D"/>
    <w:rsid w:val="00D57E51"/>
    <w:rsid w:val="00D64E68"/>
    <w:rsid w:val="00D711E9"/>
    <w:rsid w:val="00D77F07"/>
    <w:rsid w:val="00D84B14"/>
    <w:rsid w:val="00D873FD"/>
    <w:rsid w:val="00D9143F"/>
    <w:rsid w:val="00D94767"/>
    <w:rsid w:val="00D962A0"/>
    <w:rsid w:val="00DA260D"/>
    <w:rsid w:val="00DA26A0"/>
    <w:rsid w:val="00DA4E45"/>
    <w:rsid w:val="00DB355C"/>
    <w:rsid w:val="00DB6C8D"/>
    <w:rsid w:val="00DC53F2"/>
    <w:rsid w:val="00DC7365"/>
    <w:rsid w:val="00DD452A"/>
    <w:rsid w:val="00DD747E"/>
    <w:rsid w:val="00DE7748"/>
    <w:rsid w:val="00DF2DDD"/>
    <w:rsid w:val="00DF77CD"/>
    <w:rsid w:val="00E001E3"/>
    <w:rsid w:val="00E01768"/>
    <w:rsid w:val="00E030D5"/>
    <w:rsid w:val="00E04A83"/>
    <w:rsid w:val="00E04E32"/>
    <w:rsid w:val="00E06D46"/>
    <w:rsid w:val="00E11982"/>
    <w:rsid w:val="00E15A01"/>
    <w:rsid w:val="00E208DE"/>
    <w:rsid w:val="00E21B5A"/>
    <w:rsid w:val="00E309A4"/>
    <w:rsid w:val="00E30A26"/>
    <w:rsid w:val="00E3757F"/>
    <w:rsid w:val="00E418CE"/>
    <w:rsid w:val="00E41B66"/>
    <w:rsid w:val="00E4251D"/>
    <w:rsid w:val="00E56456"/>
    <w:rsid w:val="00E56E3E"/>
    <w:rsid w:val="00E57599"/>
    <w:rsid w:val="00E5797F"/>
    <w:rsid w:val="00E60B9E"/>
    <w:rsid w:val="00E6138D"/>
    <w:rsid w:val="00E65C3D"/>
    <w:rsid w:val="00E736D8"/>
    <w:rsid w:val="00E74166"/>
    <w:rsid w:val="00E74CE6"/>
    <w:rsid w:val="00E77AB7"/>
    <w:rsid w:val="00E86416"/>
    <w:rsid w:val="00E87323"/>
    <w:rsid w:val="00E91DAF"/>
    <w:rsid w:val="00E937E1"/>
    <w:rsid w:val="00E95B67"/>
    <w:rsid w:val="00EA0665"/>
    <w:rsid w:val="00EA2D74"/>
    <w:rsid w:val="00EA3CDF"/>
    <w:rsid w:val="00ED2D06"/>
    <w:rsid w:val="00ED3527"/>
    <w:rsid w:val="00ED7F94"/>
    <w:rsid w:val="00EE0E59"/>
    <w:rsid w:val="00EE3972"/>
    <w:rsid w:val="00EE3EFE"/>
    <w:rsid w:val="00EF413A"/>
    <w:rsid w:val="00EF449B"/>
    <w:rsid w:val="00F006D5"/>
    <w:rsid w:val="00F02F51"/>
    <w:rsid w:val="00F04FDC"/>
    <w:rsid w:val="00F05871"/>
    <w:rsid w:val="00F111EB"/>
    <w:rsid w:val="00F21DAA"/>
    <w:rsid w:val="00F24580"/>
    <w:rsid w:val="00F37CFD"/>
    <w:rsid w:val="00F45AF9"/>
    <w:rsid w:val="00F47EE4"/>
    <w:rsid w:val="00F50E5D"/>
    <w:rsid w:val="00F523DC"/>
    <w:rsid w:val="00F56477"/>
    <w:rsid w:val="00F71272"/>
    <w:rsid w:val="00F804F2"/>
    <w:rsid w:val="00F80F24"/>
    <w:rsid w:val="00F813E8"/>
    <w:rsid w:val="00F81F84"/>
    <w:rsid w:val="00F8416C"/>
    <w:rsid w:val="00F903F3"/>
    <w:rsid w:val="00F92BBE"/>
    <w:rsid w:val="00F93750"/>
    <w:rsid w:val="00FA0126"/>
    <w:rsid w:val="00FA0BD0"/>
    <w:rsid w:val="00FA2836"/>
    <w:rsid w:val="00FA3AB7"/>
    <w:rsid w:val="00FB0130"/>
    <w:rsid w:val="00FB0E33"/>
    <w:rsid w:val="00FB28CC"/>
    <w:rsid w:val="00FB618C"/>
    <w:rsid w:val="00FC489C"/>
    <w:rsid w:val="00FD1B2E"/>
    <w:rsid w:val="00FD560F"/>
    <w:rsid w:val="00FD6DC9"/>
    <w:rsid w:val="00FD6DE3"/>
    <w:rsid w:val="00FD7C1B"/>
    <w:rsid w:val="00FE18F6"/>
    <w:rsid w:val="00FE3053"/>
    <w:rsid w:val="00FE4650"/>
    <w:rsid w:val="00FE6DB8"/>
    <w:rsid w:val="00FF19F8"/>
    <w:rsid w:val="00FF1AAC"/>
    <w:rsid w:val="00FF48B5"/>
    <w:rsid w:val="00FF5644"/>
    <w:rsid w:val="00FF5C5D"/>
    <w:rsid w:val="0EA646BB"/>
    <w:rsid w:val="18DD7A77"/>
    <w:rsid w:val="2C8D1729"/>
    <w:rsid w:val="2DED2952"/>
    <w:rsid w:val="7FE333A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8"/>
    <w:unhideWhenUsed/>
    <w:qFormat/>
    <w:uiPriority w:val="99"/>
    <w:pPr>
      <w:jc w:val="left"/>
    </w:pPr>
  </w:style>
  <w:style w:type="paragraph" w:styleId="4">
    <w:name w:val="Plain Text"/>
    <w:basedOn w:val="1"/>
    <w:link w:val="25"/>
    <w:qFormat/>
    <w:uiPriority w:val="0"/>
    <w:rPr>
      <w:rFonts w:ascii="宋体" w:hAnsi="Courier New" w:cs="Courier New"/>
      <w:szCs w:val="21"/>
    </w:rPr>
  </w:style>
  <w:style w:type="paragraph" w:styleId="5">
    <w:name w:val="Date"/>
    <w:basedOn w:val="1"/>
    <w:next w:val="1"/>
    <w:link w:val="22"/>
    <w:semiHidden/>
    <w:unhideWhenUsed/>
    <w:qFormat/>
    <w:uiPriority w:val="99"/>
    <w:pPr>
      <w:ind w:left="100" w:leftChars="2500"/>
    </w:pPr>
  </w:style>
  <w:style w:type="paragraph" w:styleId="6">
    <w:name w:val="Balloon Text"/>
    <w:basedOn w:val="1"/>
    <w:link w:val="18"/>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semiHidden/>
    <w:unhideWhenUsed/>
    <w:uiPriority w:val="99"/>
    <w:pPr>
      <w:snapToGrid w:val="0"/>
      <w:jc w:val="left"/>
    </w:pPr>
    <w:rPr>
      <w:sz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22"/>
    <w:rPr>
      <w:b/>
      <w:bCs/>
    </w:rPr>
  </w:style>
  <w:style w:type="character" w:styleId="15">
    <w:name w:val="Hyperlink"/>
    <w:basedOn w:val="13"/>
    <w:semiHidden/>
    <w:unhideWhenUsed/>
    <w:qFormat/>
    <w:uiPriority w:val="99"/>
    <w:rPr>
      <w:color w:val="0000FF" w:themeColor="hyperlink"/>
      <w:u w:val="single"/>
      <w14:textFill>
        <w14:solidFill>
          <w14:schemeClr w14:val="hlink"/>
        </w14:solidFill>
      </w14:textFill>
    </w:rPr>
  </w:style>
  <w:style w:type="character" w:styleId="16">
    <w:name w:val="annotation reference"/>
    <w:basedOn w:val="13"/>
    <w:semiHidden/>
    <w:unhideWhenUsed/>
    <w:uiPriority w:val="99"/>
    <w:rPr>
      <w:sz w:val="21"/>
      <w:szCs w:val="21"/>
    </w:rPr>
  </w:style>
  <w:style w:type="character" w:styleId="17">
    <w:name w:val="footnote reference"/>
    <w:basedOn w:val="13"/>
    <w:semiHidden/>
    <w:unhideWhenUsed/>
    <w:qFormat/>
    <w:uiPriority w:val="99"/>
    <w:rPr>
      <w:vertAlign w:val="superscript"/>
    </w:rPr>
  </w:style>
  <w:style w:type="character" w:customStyle="1" w:styleId="18">
    <w:name w:val="批注框文本 Char"/>
    <w:basedOn w:val="13"/>
    <w:link w:val="6"/>
    <w:semiHidden/>
    <w:qFormat/>
    <w:uiPriority w:val="99"/>
    <w:rPr>
      <w:rFonts w:ascii="Calibri" w:hAnsi="Calibri" w:eastAsia="宋体" w:cs="Times New Roman"/>
      <w:sz w:val="18"/>
      <w:szCs w:val="18"/>
    </w:rPr>
  </w:style>
  <w:style w:type="character" w:customStyle="1" w:styleId="19">
    <w:name w:val="页眉 Char"/>
    <w:basedOn w:val="13"/>
    <w:link w:val="8"/>
    <w:uiPriority w:val="99"/>
    <w:rPr>
      <w:rFonts w:ascii="Calibri" w:hAnsi="Calibri" w:eastAsia="宋体" w:cs="Times New Roman"/>
      <w:sz w:val="18"/>
      <w:szCs w:val="18"/>
    </w:rPr>
  </w:style>
  <w:style w:type="character" w:customStyle="1" w:styleId="20">
    <w:name w:val="页脚 Char"/>
    <w:basedOn w:val="13"/>
    <w:link w:val="7"/>
    <w:qFormat/>
    <w:uiPriority w:val="99"/>
    <w:rPr>
      <w:rFonts w:ascii="Calibri" w:hAnsi="Calibri"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日期 Char"/>
    <w:basedOn w:val="13"/>
    <w:link w:val="5"/>
    <w:semiHidden/>
    <w:uiPriority w:val="99"/>
    <w:rPr>
      <w:rFonts w:ascii="Calibri" w:hAnsi="Calibri" w:eastAsia="宋体" w:cs="Times New Roman"/>
    </w:rPr>
  </w:style>
  <w:style w:type="character" w:customStyle="1" w:styleId="23">
    <w:name w:val="style41"/>
    <w:uiPriority w:val="99"/>
    <w:rPr>
      <w:rFonts w:cs="Times New Roman"/>
      <w:sz w:val="18"/>
      <w:szCs w:val="18"/>
    </w:rPr>
  </w:style>
  <w:style w:type="character" w:customStyle="1" w:styleId="24">
    <w:name w:val="标题 2 Char"/>
    <w:basedOn w:val="13"/>
    <w:link w:val="2"/>
    <w:qFormat/>
    <w:uiPriority w:val="9"/>
    <w:rPr>
      <w:rFonts w:asciiTheme="majorHAnsi" w:hAnsiTheme="majorHAnsi" w:eastAsiaTheme="majorEastAsia" w:cstheme="majorBidi"/>
      <w:b/>
      <w:bCs/>
      <w:sz w:val="32"/>
      <w:szCs w:val="32"/>
    </w:rPr>
  </w:style>
  <w:style w:type="character" w:customStyle="1" w:styleId="25">
    <w:name w:val="纯文本 Char"/>
    <w:basedOn w:val="13"/>
    <w:link w:val="4"/>
    <w:qFormat/>
    <w:uiPriority w:val="0"/>
    <w:rPr>
      <w:rFonts w:ascii="宋体" w:hAnsi="Courier New" w:eastAsia="宋体" w:cs="Courier New"/>
      <w:szCs w:val="21"/>
    </w:rPr>
  </w:style>
  <w:style w:type="paragraph" w:customStyle="1" w:styleId="26">
    <w:name w:val="列出段落1"/>
    <w:basedOn w:val="1"/>
    <w:qFormat/>
    <w:uiPriority w:val="99"/>
    <w:pPr>
      <w:ind w:firstLine="420" w:firstLineChars="200"/>
    </w:pPr>
  </w:style>
  <w:style w:type="character" w:customStyle="1" w:styleId="27">
    <w:name w:val="bjh-p"/>
    <w:basedOn w:val="13"/>
    <w:uiPriority w:val="0"/>
  </w:style>
  <w:style w:type="character" w:customStyle="1" w:styleId="28">
    <w:name w:val="批注文字 Char"/>
    <w:basedOn w:val="13"/>
    <w:link w:val="3"/>
    <w:qFormat/>
    <w:uiPriority w:val="99"/>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D:\&#26426;&#26800;&#31995;&#24037;&#20316;\&#25307;&#29983;&#25968;&#25454;\&#27773;&#36710;&#19987;&#19994;&#25307;&#29983;&#25968;&#25454;.xlsx" TargetMode="External"/></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oleObject" Target="file:///D:\&#26426;&#26800;&#31995;&#24037;&#20316;\&#25307;&#29983;&#25968;&#25454;\&#36712;&#36947;&#20132;&#36890;&#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200" b="0" i="0" u="none" strike="noStrike" kern="1200" baseline="0">
                <a:solidFill>
                  <a:schemeClr val="tx1"/>
                </a:solidFill>
                <a:latin typeface="微软雅黑" panose="020B0503020204020204" pitchFamily="34" charset="-122"/>
                <a:ea typeface="微软雅黑" panose="020B0503020204020204" pitchFamily="34" charset="-122"/>
                <a:cs typeface="Times New Roman" panose="02020603050405020304" charset="0"/>
              </a:defRPr>
            </a:pPr>
            <a:r>
              <a:rPr lang="zh-CN" altLang="en-US" sz="1200" dirty="0"/>
              <a:t>汽车运用与维修</a:t>
            </a:r>
            <a:r>
              <a:rPr lang="zh-CN" altLang="en-US" sz="1200" dirty="0" smtClean="0"/>
              <a:t>技术（专科）</a:t>
            </a:r>
            <a:endParaRPr lang="zh-CN" altLang="en-US" sz="1200" dirty="0"/>
          </a:p>
        </c:rich>
      </c:tx>
      <c:layout/>
      <c:overlay val="0"/>
    </c:title>
    <c:autoTitleDeleted val="0"/>
    <c:plotArea>
      <c:layout/>
      <c:barChart>
        <c:barDir val="col"/>
        <c:grouping val="clustered"/>
        <c:varyColors val="0"/>
        <c:ser>
          <c:idx val="0"/>
          <c:order val="0"/>
          <c:tx>
            <c:strRef>
              <c:f>Sheet1!$B$16</c:f>
              <c:strCache>
                <c:ptCount val="1"/>
                <c:pt idx="0">
                  <c:v>汽车运用与维修技术</c:v>
                </c:pt>
              </c:strCache>
            </c:strRef>
          </c:tx>
          <c:invertIfNegative val="0"/>
          <c:dLbls>
            <c:dLbl>
              <c:idx val="0"/>
              <c:layout>
                <c:manualLayout>
                  <c:x val="0"/>
                  <c:y val="0.0083333333333333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546266881604e-17"/>
                  <c:y val="0.022222222222222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0.0055555555555554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0.0083333333333333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0.022222222222222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
                  <c:y val="0.022222222222222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
                  <c:y val="0.022222222222222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
                  <c:y val="0.0175925925925926"/>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
                  <c:y val="0.022222222222222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
                  <c:y val="0.01296296296296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
                  <c:y val="0.026851851851851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0"/>
                  <c:y val="0.022222222222222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solidFill>
                    <a:latin typeface="Times New Roman" panose="02020603050405020304" charset="0"/>
                    <a:ea typeface="+mn-ea"/>
                    <a:cs typeface="Times New Roman" panose="02020603050405020304" charset="0"/>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Sheet1!$A$17:$A$28</c:f>
              <c:strCache>
                <c:ptCount val="12"/>
                <c:pt idx="0">
                  <c:v>13秋</c:v>
                </c:pt>
                <c:pt idx="1">
                  <c:v>14春</c:v>
                </c:pt>
                <c:pt idx="2">
                  <c:v>14秋</c:v>
                </c:pt>
                <c:pt idx="3">
                  <c:v>15春</c:v>
                </c:pt>
                <c:pt idx="4">
                  <c:v>15秋</c:v>
                </c:pt>
                <c:pt idx="5">
                  <c:v>16春</c:v>
                </c:pt>
                <c:pt idx="6">
                  <c:v>16秋</c:v>
                </c:pt>
                <c:pt idx="7">
                  <c:v>17春</c:v>
                </c:pt>
                <c:pt idx="8">
                  <c:v>17秋</c:v>
                </c:pt>
                <c:pt idx="9">
                  <c:v>18春</c:v>
                </c:pt>
                <c:pt idx="10">
                  <c:v>18秋</c:v>
                </c:pt>
                <c:pt idx="11">
                  <c:v>19春</c:v>
                </c:pt>
              </c:strCache>
            </c:strRef>
          </c:cat>
          <c:val>
            <c:numRef>
              <c:f>Sheet1!$B$17:$B$28</c:f>
              <c:numCache>
                <c:formatCode>General</c:formatCode>
                <c:ptCount val="12"/>
                <c:pt idx="0">
                  <c:v>4497</c:v>
                </c:pt>
                <c:pt idx="1">
                  <c:v>4340</c:v>
                </c:pt>
                <c:pt idx="2">
                  <c:v>5315</c:v>
                </c:pt>
                <c:pt idx="3">
                  <c:v>6822</c:v>
                </c:pt>
                <c:pt idx="4">
                  <c:v>9608</c:v>
                </c:pt>
                <c:pt idx="5">
                  <c:v>7047</c:v>
                </c:pt>
                <c:pt idx="6">
                  <c:v>6608</c:v>
                </c:pt>
                <c:pt idx="7">
                  <c:v>6107</c:v>
                </c:pt>
                <c:pt idx="8">
                  <c:v>6662</c:v>
                </c:pt>
                <c:pt idx="9">
                  <c:v>7882</c:v>
                </c:pt>
                <c:pt idx="10">
                  <c:v>9079</c:v>
                </c:pt>
                <c:pt idx="11">
                  <c:v>9410</c:v>
                </c:pt>
              </c:numCache>
            </c:numRef>
          </c:val>
        </c:ser>
        <c:dLbls>
          <c:showLegendKey val="0"/>
          <c:showVal val="0"/>
          <c:showCatName val="0"/>
          <c:showSerName val="0"/>
          <c:showPercent val="0"/>
          <c:showBubbleSize val="0"/>
        </c:dLbls>
        <c:gapWidth val="75"/>
        <c:overlap val="40"/>
        <c:axId val="185895552"/>
        <c:axId val="185897344"/>
      </c:barChart>
      <c:catAx>
        <c:axId val="18589555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200" b="0" i="0" u="none" strike="noStrike" kern="1200" baseline="0">
                <a:solidFill>
                  <a:schemeClr val="tx1"/>
                </a:solidFill>
                <a:latin typeface="Times New Roman" panose="02020603050405020304" charset="0"/>
                <a:ea typeface="+mn-ea"/>
                <a:cs typeface="Times New Roman" panose="02020603050405020304" charset="0"/>
              </a:defRPr>
            </a:pPr>
          </a:p>
        </c:txPr>
        <c:crossAx val="185897344"/>
        <c:crosses val="autoZero"/>
        <c:auto val="1"/>
        <c:lblAlgn val="ctr"/>
        <c:lblOffset val="100"/>
        <c:noMultiLvlLbl val="0"/>
      </c:catAx>
      <c:valAx>
        <c:axId val="185897344"/>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200" b="0" i="0" u="none" strike="noStrike" kern="1200" baseline="0">
                <a:solidFill>
                  <a:schemeClr val="tx1"/>
                </a:solidFill>
                <a:latin typeface="Times New Roman" panose="02020603050405020304" charset="0"/>
                <a:ea typeface="+mn-ea"/>
                <a:cs typeface="Times New Roman" panose="02020603050405020304" charset="0"/>
              </a:defRPr>
            </a:pPr>
          </a:p>
        </c:txPr>
        <c:crossAx val="185895552"/>
        <c:crosses val="autoZero"/>
        <c:crossBetween val="between"/>
      </c:valAx>
    </c:plotArea>
    <c:plotVisOnly val="1"/>
    <c:dispBlanksAs val="gap"/>
    <c:showDLblsOverMax val="0"/>
  </c:chart>
  <c:spPr>
    <a:noFill/>
    <a:ln w="9525" cap="flat" cmpd="sng" algn="ctr">
      <a:noFill/>
      <a:prstDash val="solid"/>
      <a:round/>
    </a:ln>
  </c:spPr>
  <c:txPr>
    <a:bodyPr/>
    <a:lstStyle/>
    <a:p>
      <a:pPr>
        <a:defRPr lang="zh-CN" sz="1200">
          <a:latin typeface="Times New Roman" panose="02020603050405020304" charset="0"/>
          <a:cs typeface="Times New Roman" panose="02020603050405020304" charset="0"/>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xPr>
        <a:bodyPr rot="0" spcFirstLastPara="0" vertOverflow="ellipsis" vert="horz" wrap="square" anchor="ctr" anchorCtr="1"/>
        <a:lstStyle/>
        <a:p>
          <a:pPr>
            <a:defRPr lang="zh-CN" sz="1200" b="0" i="0" u="none" strike="noStrike" kern="1200" baseline="0">
              <a:solidFill>
                <a:schemeClr val="tx1"/>
              </a:solidFill>
              <a:latin typeface="微软雅黑" panose="020B0503020204020204" pitchFamily="34" charset="-122"/>
              <a:ea typeface="微软雅黑" panose="020B0503020204020204" pitchFamily="34" charset="-122"/>
              <a:cs typeface="Times New Roman" panose="02020603050405020304" charset="0"/>
            </a:defRPr>
          </a:pPr>
        </a:p>
      </c:txPr>
    </c:title>
    <c:autoTitleDeleted val="0"/>
    <c:plotArea>
      <c:layout/>
      <c:barChart>
        <c:barDir val="col"/>
        <c:grouping val="clustered"/>
        <c:varyColors val="0"/>
        <c:ser>
          <c:idx val="0"/>
          <c:order val="0"/>
          <c:tx>
            <c:strRef>
              <c:f>Sheet1!$B$16</c:f>
              <c:strCache>
                <c:ptCount val="1"/>
                <c:pt idx="0">
                  <c:v>城市轨道交通运营管理（专科）</c:v>
                </c:pt>
              </c:strCache>
            </c:strRef>
          </c:tx>
          <c:invertIfNegative val="0"/>
          <c:dLbls>
            <c:dLbl>
              <c:idx val="0"/>
              <c:layout>
                <c:manualLayout>
                  <c:x val="0.0111111111111111"/>
                  <c:y val="0.0064814814814814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0.029629629629629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0.01203703703703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solidFill>
                    <a:latin typeface="Times New Roman" panose="02020603050405020304" charset="0"/>
                    <a:ea typeface="+mn-ea"/>
                    <a:cs typeface="Times New Roman" panose="02020603050405020304" charset="0"/>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Sheet1!$A$26:$A$28</c:f>
              <c:strCache>
                <c:ptCount val="3"/>
                <c:pt idx="0">
                  <c:v>18春</c:v>
                </c:pt>
                <c:pt idx="1">
                  <c:v>18秋</c:v>
                </c:pt>
                <c:pt idx="2">
                  <c:v>19春</c:v>
                </c:pt>
              </c:strCache>
            </c:strRef>
          </c:cat>
          <c:val>
            <c:numRef>
              <c:f>Sheet1!$B$26:$B$28</c:f>
              <c:numCache>
                <c:formatCode>General</c:formatCode>
                <c:ptCount val="3"/>
                <c:pt idx="0">
                  <c:v>6931</c:v>
                </c:pt>
                <c:pt idx="1">
                  <c:v>4970</c:v>
                </c:pt>
                <c:pt idx="2">
                  <c:v>5374</c:v>
                </c:pt>
              </c:numCache>
            </c:numRef>
          </c:val>
        </c:ser>
        <c:dLbls>
          <c:showLegendKey val="0"/>
          <c:showVal val="0"/>
          <c:showCatName val="0"/>
          <c:showSerName val="0"/>
          <c:showPercent val="0"/>
          <c:showBubbleSize val="0"/>
        </c:dLbls>
        <c:gapWidth val="75"/>
        <c:overlap val="40"/>
        <c:axId val="186185600"/>
        <c:axId val="186187136"/>
      </c:barChart>
      <c:catAx>
        <c:axId val="186185600"/>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200" b="0" i="0" u="none" strike="noStrike" kern="1200" baseline="0">
                <a:solidFill>
                  <a:schemeClr val="tx1"/>
                </a:solidFill>
                <a:latin typeface="Times New Roman" panose="02020603050405020304" charset="0"/>
                <a:ea typeface="+mj-ea"/>
                <a:cs typeface="Times New Roman" panose="02020603050405020304" charset="0"/>
              </a:defRPr>
            </a:pPr>
          </a:p>
        </c:txPr>
        <c:crossAx val="186187136"/>
        <c:crosses val="autoZero"/>
        <c:auto val="1"/>
        <c:lblAlgn val="ctr"/>
        <c:lblOffset val="100"/>
        <c:noMultiLvlLbl val="0"/>
      </c:catAx>
      <c:valAx>
        <c:axId val="18618713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200" b="0" i="0" u="none" strike="noStrike" kern="1200" baseline="0">
                <a:solidFill>
                  <a:schemeClr val="tx1"/>
                </a:solidFill>
                <a:latin typeface="Times New Roman" panose="02020603050405020304" charset="0"/>
                <a:ea typeface="+mn-ea"/>
                <a:cs typeface="Times New Roman" panose="02020603050405020304" charset="0"/>
              </a:defRPr>
            </a:pPr>
          </a:p>
        </c:txPr>
        <c:crossAx val="186185600"/>
        <c:crosses val="autoZero"/>
        <c:crossBetween val="between"/>
      </c:valAx>
    </c:plotArea>
    <c:plotVisOnly val="1"/>
    <c:dispBlanksAs val="gap"/>
    <c:showDLblsOverMax val="0"/>
  </c:chart>
  <c:spPr>
    <a:ln w="9525" cap="flat" cmpd="sng" algn="ctr">
      <a:noFill/>
      <a:prstDash val="solid"/>
      <a:round/>
    </a:ln>
  </c:spPr>
  <c:txPr>
    <a:bodyPr/>
    <a:lstStyle/>
    <a:p>
      <a:pPr>
        <a:defRPr lang="zh-CN" sz="1200">
          <a:latin typeface="Times New Roman" panose="02020603050405020304" charset="0"/>
          <a:cs typeface="Times New Roman" panose="02020603050405020304" charset="0"/>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33</Pages>
  <Words>3411</Words>
  <Characters>19446</Characters>
  <Lines>162</Lines>
  <Paragraphs>45</Paragraphs>
  <TotalTime>2228</TotalTime>
  <ScaleCrop>false</ScaleCrop>
  <LinksUpToDate>false</LinksUpToDate>
  <CharactersWithSpaces>22812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2019-10-24T06:35:00Z</dcterms:created>
  <dc:creator>林燕</dc:creator>
  <cp:lastModifiedBy>面包树上</cp:lastModifiedBy>
  <cp:lastPrinted>2019-05-27T03:21:00Z</cp:lastPrinted>
  <dcterms:modified xsi:type="dcterms:W3CDTF">2020-03-20T02:53:57Z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