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E w:val="0"/>
        <w:autoSpaceDN w:val="0"/>
        <w:adjustRightInd w:val="0"/>
        <w:spacing w:line="360" w:lineRule="auto"/>
        <w:jc w:val="center"/>
        <w:rPr>
          <w:rFonts w:ascii="黑体" w:hAnsi="宋体" w:eastAsia="黑体" w:cs="FZFSK--GBK1-0"/>
          <w:b/>
          <w:kern w:val="0"/>
          <w:sz w:val="28"/>
          <w:szCs w:val="28"/>
        </w:rPr>
      </w:pPr>
      <w:r>
        <w:rPr>
          <w:rFonts w:hint="eastAsia" w:ascii="黑体" w:hAnsi="宋体" w:eastAsia="黑体" w:cs="FZFSK--GBK1-0"/>
          <w:b/>
          <w:kern w:val="0"/>
          <w:sz w:val="28"/>
          <w:szCs w:val="28"/>
        </w:rPr>
        <w:t>管理学科 工商管理类</w:t>
      </w:r>
    </w:p>
    <w:p>
      <w:pPr>
        <w:autoSpaceDE w:val="0"/>
        <w:autoSpaceDN w:val="0"/>
        <w:adjustRightInd w:val="0"/>
        <w:spacing w:line="360" w:lineRule="auto"/>
        <w:jc w:val="center"/>
        <w:rPr>
          <w:rFonts w:ascii="黑体" w:hAnsi="宋体" w:eastAsia="黑体" w:cs="FZFSK--GBK1-0"/>
          <w:b/>
          <w:kern w:val="0"/>
          <w:sz w:val="28"/>
          <w:szCs w:val="28"/>
        </w:rPr>
      </w:pPr>
      <w:r>
        <w:rPr>
          <w:rFonts w:hint="eastAsia" w:ascii="黑体" w:hAnsi="宋体" w:eastAsia="黑体" w:cs="FZHTK--GBK1-0"/>
          <w:b/>
          <w:kern w:val="0"/>
          <w:sz w:val="28"/>
          <w:szCs w:val="28"/>
          <w:lang w:eastAsia="zh-CN"/>
        </w:rPr>
        <w:t>工商管理（企业生产运营管理）</w:t>
      </w:r>
      <w:r>
        <w:rPr>
          <w:rFonts w:hint="eastAsia" w:ascii="黑体" w:hAnsi="宋体" w:eastAsia="黑体" w:cs="FZHTK--GBK1-0"/>
          <w:b/>
          <w:kern w:val="0"/>
          <w:sz w:val="28"/>
          <w:szCs w:val="28"/>
        </w:rPr>
        <w:t>专业规则说明</w:t>
      </w:r>
    </w:p>
    <w:p>
      <w:pPr>
        <w:autoSpaceDE w:val="0"/>
        <w:autoSpaceDN w:val="0"/>
        <w:adjustRightInd w:val="0"/>
        <w:spacing w:line="360" w:lineRule="auto"/>
        <w:ind w:firstLine="562" w:firstLineChars="200"/>
        <w:jc w:val="left"/>
        <w:rPr>
          <w:rFonts w:ascii="宋体" w:hAnsi="宋体" w:cs="FZY3K--GBK1-0"/>
          <w:b/>
          <w:kern w:val="0"/>
          <w:sz w:val="28"/>
          <w:szCs w:val="28"/>
        </w:rPr>
      </w:pPr>
      <w:r>
        <w:rPr>
          <w:rFonts w:hint="eastAsia" w:ascii="宋体" w:hAnsi="宋体" w:cs="FZY3K--GBK1-0"/>
          <w:b/>
          <w:kern w:val="0"/>
          <w:sz w:val="28"/>
          <w:szCs w:val="28"/>
        </w:rPr>
        <w:t>一</w:t>
      </w:r>
      <w:r>
        <w:rPr>
          <w:rFonts w:hint="eastAsia" w:ascii="宋体" w:hAnsi="宋体" w:cs="E-YT1"/>
          <w:b/>
          <w:kern w:val="0"/>
          <w:sz w:val="28"/>
          <w:szCs w:val="28"/>
        </w:rPr>
        <w:t>、</w:t>
      </w:r>
      <w:r>
        <w:rPr>
          <w:rFonts w:hint="eastAsia" w:ascii="宋体" w:hAnsi="宋体" w:cs="FZY3K--GBK1-0"/>
          <w:b/>
          <w:kern w:val="0"/>
          <w:sz w:val="28"/>
          <w:szCs w:val="28"/>
        </w:rPr>
        <w:t>培养规格与培养目标</w:t>
      </w:r>
    </w:p>
    <w:p>
      <w:pPr>
        <w:autoSpaceDE w:val="0"/>
        <w:autoSpaceDN w:val="0"/>
        <w:adjustRightInd w:val="0"/>
        <w:spacing w:line="360" w:lineRule="auto"/>
        <w:ind w:firstLine="480" w:firstLineChars="200"/>
        <w:jc w:val="left"/>
        <w:rPr>
          <w:rFonts w:ascii="宋体" w:hAnsi="宋体" w:cs="E-BZ"/>
          <w:kern w:val="0"/>
          <w:sz w:val="24"/>
        </w:rPr>
      </w:pPr>
      <w:r>
        <w:rPr>
          <w:rFonts w:hint="eastAsia" w:ascii="宋体" w:hAnsi="宋体" w:cs="FZSSK--GBK1-0"/>
          <w:kern w:val="0"/>
          <w:sz w:val="24"/>
        </w:rPr>
        <w:t>专业培养规格</w:t>
      </w:r>
      <w:r>
        <w:rPr>
          <w:rFonts w:hint="eastAsia" w:ascii="宋体" w:hAnsi="宋体" w:cs="E-BZ"/>
          <w:kern w:val="0"/>
          <w:sz w:val="24"/>
        </w:rPr>
        <w:t xml:space="preserve">: </w:t>
      </w:r>
      <w:r>
        <w:rPr>
          <w:rFonts w:hint="eastAsia" w:ascii="宋体" w:hAnsi="宋体" w:cs="FZSSK--GBK1-0"/>
          <w:kern w:val="0"/>
          <w:sz w:val="24"/>
        </w:rPr>
        <w:t>专科</w:t>
      </w:r>
      <w:r>
        <w:rPr>
          <w:rFonts w:hint="eastAsia" w:ascii="宋体" w:hAnsi="宋体" w:cs="E-BZ"/>
          <w:kern w:val="0"/>
          <w:sz w:val="24"/>
        </w:rPr>
        <w:t>，</w:t>
      </w:r>
      <w:r>
        <w:rPr>
          <w:rFonts w:hint="eastAsia" w:ascii="宋体" w:hAnsi="宋体" w:cs="FZSSK--GBK1-0"/>
          <w:kern w:val="0"/>
          <w:sz w:val="24"/>
        </w:rPr>
        <w:t>两年制三年业余学习，最短学习年限不低于两年半</w:t>
      </w:r>
      <w:r>
        <w:rPr>
          <w:rFonts w:hint="eastAsia" w:ascii="宋体" w:hAnsi="宋体" w:cs="E-BZ"/>
          <w:kern w:val="0"/>
          <w:sz w:val="24"/>
        </w:rPr>
        <w:t>。</w:t>
      </w:r>
    </w:p>
    <w:p>
      <w:pPr>
        <w:autoSpaceDE w:val="0"/>
        <w:autoSpaceDN w:val="0"/>
        <w:adjustRightInd w:val="0"/>
        <w:spacing w:line="360" w:lineRule="auto"/>
        <w:ind w:firstLine="480" w:firstLineChars="200"/>
        <w:jc w:val="left"/>
        <w:rPr>
          <w:rFonts w:ascii="宋体" w:hAnsi="宋体" w:cs="FZSSK--GBK1-0"/>
          <w:kern w:val="0"/>
          <w:sz w:val="24"/>
        </w:rPr>
      </w:pPr>
      <w:r>
        <w:rPr>
          <w:rFonts w:hint="eastAsia" w:ascii="宋体" w:hAnsi="宋体" w:cs="FZSSK--GBK1-0"/>
          <w:kern w:val="0"/>
          <w:sz w:val="24"/>
        </w:rPr>
        <w:t>专业培养目标</w:t>
      </w:r>
      <w:r>
        <w:rPr>
          <w:rFonts w:hint="eastAsia" w:ascii="宋体" w:hAnsi="宋体" w:cs="E-BZ"/>
          <w:kern w:val="0"/>
          <w:sz w:val="24"/>
        </w:rPr>
        <w:t>: 适应社会成员多样化、个性化学习需求，培养相应的专业理论知识、实践技能和应用能力，面向工业、建筑业等制造业和物流、物业、酒店等现代服务业</w:t>
      </w:r>
      <w:r>
        <w:rPr>
          <w:rFonts w:hint="eastAsia" w:ascii="宋体" w:hAnsi="宋体" w:cs="E-BZ"/>
          <w:kern w:val="0"/>
          <w:sz w:val="24"/>
          <w:lang w:eastAsia="zh-CN"/>
        </w:rPr>
        <w:t>工商管理（企业生产运营管理）</w:t>
      </w:r>
      <w:r>
        <w:rPr>
          <w:rFonts w:hint="eastAsia" w:ascii="宋体" w:hAnsi="宋体" w:cs="E-BZ"/>
          <w:kern w:val="0"/>
          <w:sz w:val="24"/>
        </w:rPr>
        <w:t>人员，培养具有现代管理理念和</w:t>
      </w:r>
      <w:r>
        <w:rPr>
          <w:rFonts w:hint="eastAsia" w:ascii="宋体" w:hAnsi="宋体" w:cs="E-BZ"/>
          <w:kern w:val="0"/>
          <w:sz w:val="24"/>
          <w:lang w:eastAsia="zh-CN"/>
        </w:rPr>
        <w:t>工商管理（企业生产运营管理）</w:t>
      </w:r>
      <w:r>
        <w:rPr>
          <w:rFonts w:hint="eastAsia" w:ascii="宋体" w:hAnsi="宋体" w:cs="E-BZ"/>
          <w:kern w:val="0"/>
          <w:sz w:val="24"/>
        </w:rPr>
        <w:t>基本知识素养，具备完整的、系统的生产运营管理基础能力，清晰生产运营管理人员角色定位，爱岗敬业，具备管事、管人、管物的基础能力，以及生产运营管理</w:t>
      </w:r>
      <w:r>
        <w:rPr>
          <w:rFonts w:hint="eastAsia" w:ascii="宋体" w:hAnsi="宋体" w:cs="E-BZ"/>
          <w:kern w:val="0"/>
          <w:sz w:val="24"/>
          <w:lang w:eastAsia="zh-CN"/>
        </w:rPr>
        <w:t>综合</w:t>
      </w:r>
      <w:r>
        <w:rPr>
          <w:rFonts w:hint="eastAsia" w:ascii="宋体" w:hAnsi="宋体" w:cs="E-BZ"/>
          <w:i w:val="0"/>
          <w:iCs w:val="0"/>
          <w:kern w:val="0"/>
          <w:sz w:val="24"/>
          <w:highlight w:val="none"/>
        </w:rPr>
        <w:t>能力</w:t>
      </w:r>
      <w:r>
        <w:rPr>
          <w:rFonts w:hint="eastAsia" w:ascii="宋体" w:hAnsi="宋体" w:cs="E-BZ"/>
          <w:kern w:val="0"/>
          <w:sz w:val="24"/>
        </w:rPr>
        <w:t>，掌握</w:t>
      </w:r>
      <w:r>
        <w:rPr>
          <w:rFonts w:hint="eastAsia" w:ascii="宋体" w:hAnsi="宋体" w:cs="E-BZ"/>
          <w:kern w:val="0"/>
          <w:sz w:val="24"/>
          <w:lang w:eastAsia="zh-CN"/>
        </w:rPr>
        <w:t>工商管理（企业生产运营管理）</w:t>
      </w:r>
      <w:r>
        <w:rPr>
          <w:rFonts w:hint="eastAsia" w:ascii="宋体" w:hAnsi="宋体" w:cs="E-BZ"/>
          <w:kern w:val="0"/>
          <w:sz w:val="24"/>
        </w:rPr>
        <w:t>流程、方法、工具等基本业务知识技能，并能解决</w:t>
      </w:r>
      <w:r>
        <w:rPr>
          <w:rFonts w:hint="eastAsia" w:ascii="宋体" w:hAnsi="宋体" w:cs="E-BZ"/>
          <w:kern w:val="0"/>
          <w:sz w:val="24"/>
          <w:lang w:eastAsia="zh-CN"/>
        </w:rPr>
        <w:t>工商管理（企业生产运营管理）</w:t>
      </w:r>
      <w:r>
        <w:rPr>
          <w:rFonts w:hint="eastAsia" w:ascii="宋体" w:hAnsi="宋体" w:cs="E-BZ"/>
          <w:kern w:val="0"/>
          <w:sz w:val="24"/>
        </w:rPr>
        <w:t>实际问题，适应企业管理精细化、规范化需要的</w:t>
      </w:r>
      <w:r>
        <w:rPr>
          <w:rFonts w:hint="eastAsia" w:ascii="宋体" w:hAnsi="宋体" w:cs="E-BZ"/>
          <w:kern w:val="0"/>
          <w:sz w:val="24"/>
          <w:lang w:eastAsia="zh-CN"/>
        </w:rPr>
        <w:t>工商管理（企业生产运营管理）技术</w:t>
      </w:r>
      <w:r>
        <w:rPr>
          <w:rFonts w:hint="eastAsia" w:ascii="宋体" w:hAnsi="宋体" w:cs="E-BZ"/>
          <w:i w:val="0"/>
          <w:iCs w:val="0"/>
          <w:kern w:val="0"/>
          <w:sz w:val="24"/>
        </w:rPr>
        <w:t>应用性人才</w:t>
      </w:r>
      <w:r>
        <w:rPr>
          <w:rFonts w:hint="eastAsia" w:ascii="宋体" w:hAnsi="宋体" w:cs="E-BZ"/>
          <w:kern w:val="0"/>
          <w:sz w:val="24"/>
        </w:rPr>
        <w:t>和高素质劳动者。</w:t>
      </w:r>
    </w:p>
    <w:p>
      <w:pPr>
        <w:autoSpaceDE w:val="0"/>
        <w:autoSpaceDN w:val="0"/>
        <w:adjustRightInd w:val="0"/>
        <w:spacing w:line="360" w:lineRule="auto"/>
        <w:ind w:firstLine="562" w:firstLineChars="200"/>
        <w:jc w:val="left"/>
        <w:rPr>
          <w:rFonts w:ascii="宋体" w:hAnsi="宋体" w:cs="FZY3K--GBK1-0"/>
          <w:b/>
          <w:kern w:val="0"/>
          <w:sz w:val="28"/>
          <w:szCs w:val="28"/>
        </w:rPr>
      </w:pPr>
      <w:r>
        <w:rPr>
          <w:rFonts w:hint="eastAsia" w:ascii="宋体" w:hAnsi="宋体" w:cs="FZY3K--GBK1-0"/>
          <w:b/>
          <w:kern w:val="0"/>
          <w:sz w:val="28"/>
          <w:szCs w:val="28"/>
        </w:rPr>
        <w:t>二</w:t>
      </w:r>
      <w:r>
        <w:rPr>
          <w:rFonts w:hint="eastAsia" w:ascii="宋体" w:hAnsi="宋体" w:cs="E-YT1"/>
          <w:b/>
          <w:kern w:val="0"/>
          <w:sz w:val="28"/>
          <w:szCs w:val="28"/>
        </w:rPr>
        <w:t>、</w:t>
      </w:r>
      <w:r>
        <w:rPr>
          <w:rFonts w:hint="eastAsia" w:ascii="宋体" w:hAnsi="宋体" w:cs="FZY3K--GBK1-0"/>
          <w:b/>
          <w:kern w:val="0"/>
          <w:sz w:val="28"/>
          <w:szCs w:val="28"/>
        </w:rPr>
        <w:t>课程模块设置</w:t>
      </w:r>
    </w:p>
    <w:p>
      <w:pPr>
        <w:autoSpaceDE w:val="0"/>
        <w:autoSpaceDN w:val="0"/>
        <w:adjustRightInd w:val="0"/>
        <w:spacing w:line="360" w:lineRule="auto"/>
        <w:ind w:firstLine="480" w:firstLineChars="200"/>
        <w:jc w:val="left"/>
        <w:rPr>
          <w:rFonts w:ascii="宋体" w:hAnsi="宋体" w:cs="FZSSK--GBK1-0"/>
          <w:kern w:val="0"/>
          <w:sz w:val="24"/>
        </w:rPr>
      </w:pPr>
      <w:r>
        <w:rPr>
          <w:rFonts w:hint="eastAsia" w:ascii="宋体" w:hAnsi="宋体" w:cs="FZSSK--GBK1-0"/>
          <w:kern w:val="0"/>
          <w:sz w:val="24"/>
        </w:rPr>
        <w:t>本专业共设置</w:t>
      </w:r>
      <w:r>
        <w:rPr>
          <w:rFonts w:hint="eastAsia" w:ascii="宋体" w:hAnsi="宋体" w:cs="E-BZ"/>
          <w:kern w:val="0"/>
          <w:sz w:val="24"/>
        </w:rPr>
        <w:t>6</w:t>
      </w:r>
      <w:r>
        <w:rPr>
          <w:rFonts w:hint="eastAsia" w:ascii="宋体" w:hAnsi="宋体" w:cs="FZSSK--GBK1-0"/>
          <w:kern w:val="0"/>
          <w:sz w:val="24"/>
        </w:rPr>
        <w:t>个模块</w:t>
      </w:r>
      <w:r>
        <w:rPr>
          <w:rFonts w:hint="eastAsia" w:ascii="宋体" w:hAnsi="宋体" w:cs="E-BZ"/>
          <w:kern w:val="0"/>
          <w:sz w:val="24"/>
        </w:rPr>
        <w:t>，</w:t>
      </w:r>
      <w:r>
        <w:rPr>
          <w:rFonts w:hint="eastAsia" w:ascii="宋体" w:hAnsi="宋体" w:cs="FZSSK--GBK1-0"/>
          <w:kern w:val="0"/>
          <w:sz w:val="24"/>
        </w:rPr>
        <w:t>分别是公共基础课</w:t>
      </w:r>
      <w:r>
        <w:rPr>
          <w:rFonts w:hint="eastAsia" w:ascii="宋体" w:hAnsi="宋体" w:cs="E-BZ"/>
          <w:kern w:val="0"/>
          <w:sz w:val="24"/>
        </w:rPr>
        <w:t>、</w:t>
      </w:r>
      <w:r>
        <w:rPr>
          <w:rFonts w:hint="eastAsia" w:ascii="宋体" w:hAnsi="宋体" w:cs="FZSSK--GBK1-0"/>
          <w:kern w:val="0"/>
          <w:sz w:val="24"/>
        </w:rPr>
        <w:t>专业基础课</w:t>
      </w:r>
      <w:r>
        <w:rPr>
          <w:rFonts w:hint="eastAsia" w:ascii="宋体" w:hAnsi="宋体" w:cs="E-BZ"/>
          <w:kern w:val="0"/>
          <w:sz w:val="24"/>
        </w:rPr>
        <w:t>、</w:t>
      </w:r>
      <w:r>
        <w:rPr>
          <w:rFonts w:hint="eastAsia" w:ascii="宋体" w:hAnsi="宋体" w:cs="FZSSK--GBK1-0"/>
          <w:kern w:val="0"/>
          <w:sz w:val="24"/>
        </w:rPr>
        <w:t>专业核心课</w:t>
      </w:r>
      <w:r>
        <w:rPr>
          <w:rFonts w:hint="eastAsia" w:ascii="宋体" w:hAnsi="宋体" w:cs="E-BZ"/>
          <w:kern w:val="0"/>
          <w:sz w:val="24"/>
        </w:rPr>
        <w:t>、</w:t>
      </w:r>
      <w:r>
        <w:rPr>
          <w:rFonts w:hint="eastAsia" w:ascii="宋体" w:hAnsi="宋体" w:cs="FZSSK--GBK1-0"/>
          <w:kern w:val="0"/>
          <w:sz w:val="24"/>
        </w:rPr>
        <w:t>专通识课</w:t>
      </w:r>
      <w:r>
        <w:rPr>
          <w:rFonts w:hint="eastAsia" w:ascii="宋体" w:hAnsi="宋体" w:cs="E-BZ"/>
          <w:kern w:val="0"/>
          <w:sz w:val="24"/>
        </w:rPr>
        <w:t>、</w:t>
      </w:r>
      <w:r>
        <w:rPr>
          <w:rFonts w:hint="eastAsia" w:ascii="宋体" w:hAnsi="宋体" w:cs="E-BZ"/>
          <w:kern w:val="0"/>
          <w:sz w:val="24"/>
          <w:lang w:eastAsia="zh-CN"/>
        </w:rPr>
        <w:t>业务</w:t>
      </w:r>
      <w:r>
        <w:rPr>
          <w:rFonts w:hint="eastAsia" w:ascii="宋体" w:hAnsi="宋体" w:cs="FZSSK--GBK1-0"/>
          <w:kern w:val="0"/>
          <w:sz w:val="24"/>
        </w:rPr>
        <w:t>拓展课</w:t>
      </w:r>
      <w:r>
        <w:rPr>
          <w:rFonts w:hint="eastAsia" w:ascii="宋体" w:hAnsi="宋体" w:cs="E-BZ"/>
          <w:kern w:val="0"/>
          <w:sz w:val="24"/>
        </w:rPr>
        <w:t>、</w:t>
      </w:r>
      <w:r>
        <w:rPr>
          <w:rFonts w:hint="eastAsia" w:ascii="宋体" w:hAnsi="宋体" w:cs="FZSSK--GBK1-0"/>
          <w:kern w:val="0"/>
          <w:sz w:val="24"/>
        </w:rPr>
        <w:t>综合实践</w:t>
      </w:r>
      <w:r>
        <w:rPr>
          <w:rFonts w:hint="eastAsia" w:ascii="宋体" w:hAnsi="宋体" w:cs="E-BZ"/>
          <w:kern w:val="0"/>
          <w:sz w:val="24"/>
        </w:rPr>
        <w:t>。</w:t>
      </w:r>
    </w:p>
    <w:p>
      <w:pPr>
        <w:autoSpaceDE w:val="0"/>
        <w:autoSpaceDN w:val="0"/>
        <w:adjustRightInd w:val="0"/>
        <w:spacing w:line="360" w:lineRule="auto"/>
        <w:ind w:firstLine="562" w:firstLineChars="200"/>
        <w:jc w:val="left"/>
        <w:rPr>
          <w:rFonts w:ascii="宋体" w:hAnsi="宋体" w:cs="FZY3K--GBK1-0"/>
          <w:b/>
          <w:kern w:val="0"/>
          <w:sz w:val="28"/>
          <w:szCs w:val="28"/>
        </w:rPr>
      </w:pPr>
      <w:r>
        <w:rPr>
          <w:rFonts w:hint="eastAsia" w:ascii="宋体" w:hAnsi="宋体" w:cs="FZY3K--GBK1-0"/>
          <w:b/>
          <w:kern w:val="0"/>
          <w:sz w:val="28"/>
          <w:szCs w:val="28"/>
        </w:rPr>
        <w:t>三</w:t>
      </w:r>
      <w:r>
        <w:rPr>
          <w:rFonts w:hint="eastAsia" w:ascii="宋体" w:hAnsi="宋体" w:cs="E-YT1"/>
          <w:b/>
          <w:kern w:val="0"/>
          <w:sz w:val="28"/>
          <w:szCs w:val="28"/>
        </w:rPr>
        <w:t>、</w:t>
      </w:r>
      <w:r>
        <w:rPr>
          <w:rFonts w:hint="eastAsia" w:ascii="宋体" w:hAnsi="宋体" w:cs="FZY3K--GBK1-0"/>
          <w:b/>
          <w:kern w:val="0"/>
          <w:sz w:val="28"/>
          <w:szCs w:val="28"/>
        </w:rPr>
        <w:t>课程设置</w:t>
      </w:r>
    </w:p>
    <w:p>
      <w:pPr>
        <w:autoSpaceDE w:val="0"/>
        <w:autoSpaceDN w:val="0"/>
        <w:adjustRightInd w:val="0"/>
        <w:spacing w:line="360" w:lineRule="auto"/>
        <w:ind w:firstLine="480" w:firstLineChars="200"/>
        <w:jc w:val="left"/>
        <w:rPr>
          <w:rFonts w:ascii="宋体" w:hAnsi="宋体" w:cs="FZSSK--GBK1-0"/>
          <w:kern w:val="0"/>
          <w:sz w:val="24"/>
        </w:rPr>
      </w:pPr>
      <w:r>
        <w:rPr>
          <w:rFonts w:hint="eastAsia" w:ascii="宋体" w:hAnsi="宋体" w:cs="E-BZ"/>
          <w:kern w:val="0"/>
          <w:sz w:val="24"/>
        </w:rPr>
        <w:t>1、</w:t>
      </w:r>
      <w:r>
        <w:rPr>
          <w:rFonts w:hint="eastAsia" w:ascii="宋体" w:hAnsi="宋体" w:cs="FZSSK--GBK1-0"/>
          <w:kern w:val="0"/>
          <w:sz w:val="24"/>
        </w:rPr>
        <w:t>公共基础课</w:t>
      </w:r>
    </w:p>
    <w:p>
      <w:pPr>
        <w:autoSpaceDE w:val="0"/>
        <w:autoSpaceDN w:val="0"/>
        <w:adjustRightInd w:val="0"/>
        <w:spacing w:line="360" w:lineRule="auto"/>
        <w:ind w:firstLine="480" w:firstLineChars="200"/>
        <w:jc w:val="left"/>
        <w:rPr>
          <w:rFonts w:ascii="宋体" w:hAnsi="宋体" w:cs="E-BZ"/>
          <w:kern w:val="0"/>
          <w:sz w:val="24"/>
        </w:rPr>
      </w:pPr>
      <w:r>
        <w:rPr>
          <w:rFonts w:hint="eastAsia" w:ascii="宋体" w:hAnsi="宋体" w:cs="FZSSK--GBK1-0"/>
          <w:kern w:val="0"/>
          <w:sz w:val="24"/>
        </w:rPr>
        <w:t>该模块国家开放大学考试最低学分为</w:t>
      </w:r>
      <w:r>
        <w:rPr>
          <w:rFonts w:hint="eastAsia" w:ascii="宋体" w:hAnsi="宋体" w:cs="E-BZ"/>
          <w:kern w:val="0"/>
          <w:sz w:val="24"/>
          <w:lang w:val="en-US" w:eastAsia="zh-CN"/>
        </w:rPr>
        <w:t>3</w:t>
      </w:r>
      <w:r>
        <w:rPr>
          <w:rFonts w:hint="eastAsia" w:ascii="宋体" w:hAnsi="宋体" w:cs="FZSSK--GBK1-0"/>
          <w:kern w:val="0"/>
          <w:sz w:val="24"/>
        </w:rPr>
        <w:t>学分</w:t>
      </w:r>
      <w:r>
        <w:rPr>
          <w:rFonts w:hint="eastAsia" w:ascii="宋体" w:hAnsi="宋体" w:cs="E-BZ"/>
          <w:kern w:val="0"/>
          <w:sz w:val="24"/>
        </w:rPr>
        <w:t>，</w:t>
      </w:r>
      <w:r>
        <w:rPr>
          <w:rFonts w:hint="eastAsia" w:ascii="宋体" w:hAnsi="宋体" w:cs="FZSSK--GBK1-0"/>
          <w:kern w:val="0"/>
          <w:sz w:val="24"/>
        </w:rPr>
        <w:t>模块设置最低学分为</w:t>
      </w:r>
      <w:r>
        <w:rPr>
          <w:rFonts w:hint="eastAsia" w:ascii="宋体" w:hAnsi="宋体" w:cs="E-BZ"/>
          <w:kern w:val="0"/>
          <w:sz w:val="24"/>
        </w:rPr>
        <w:t>1</w:t>
      </w:r>
      <w:r>
        <w:rPr>
          <w:rFonts w:hint="eastAsia" w:ascii="宋体" w:hAnsi="宋体" w:cs="E-BZ"/>
          <w:kern w:val="0"/>
          <w:sz w:val="24"/>
          <w:lang w:val="en-US" w:eastAsia="zh-CN"/>
        </w:rPr>
        <w:t>2</w:t>
      </w:r>
      <w:r>
        <w:rPr>
          <w:rFonts w:hint="eastAsia" w:ascii="宋体" w:hAnsi="宋体" w:cs="FZSSK--GBK1-0"/>
          <w:kern w:val="0"/>
          <w:sz w:val="24"/>
        </w:rPr>
        <w:t>学分</w:t>
      </w:r>
      <w:r>
        <w:rPr>
          <w:rFonts w:hint="eastAsia" w:ascii="宋体" w:hAnsi="宋体" w:cs="FZSSK--GBK1-0"/>
          <w:kern w:val="0"/>
          <w:sz w:val="24"/>
          <w:lang w:eastAsia="zh-CN"/>
        </w:rPr>
        <w:t>，模块毕业最低学分</w:t>
      </w:r>
      <w:r>
        <w:rPr>
          <w:rFonts w:hint="eastAsia" w:ascii="宋体" w:hAnsi="宋体" w:cs="FZSSK--GBK1-0"/>
          <w:kern w:val="0"/>
          <w:sz w:val="24"/>
          <w:lang w:val="en-US" w:eastAsia="zh-CN"/>
        </w:rPr>
        <w:t>12学分</w:t>
      </w:r>
      <w:r>
        <w:rPr>
          <w:rFonts w:hint="eastAsia" w:ascii="宋体" w:hAnsi="宋体" w:cs="E-BZ"/>
          <w:kern w:val="0"/>
          <w:sz w:val="24"/>
        </w:rPr>
        <w:t>。</w:t>
      </w:r>
    </w:p>
    <w:p>
      <w:pPr>
        <w:autoSpaceDE w:val="0"/>
        <w:autoSpaceDN w:val="0"/>
        <w:adjustRightInd w:val="0"/>
        <w:spacing w:line="360" w:lineRule="auto"/>
        <w:ind w:firstLine="480" w:firstLineChars="200"/>
        <w:jc w:val="left"/>
        <w:rPr>
          <w:rFonts w:ascii="宋体" w:hAnsi="宋体" w:cs="FZSSK--GBK1-0"/>
          <w:kern w:val="0"/>
          <w:sz w:val="24"/>
        </w:rPr>
      </w:pPr>
      <w:r>
        <w:rPr>
          <w:rFonts w:hint="eastAsia" w:ascii="宋体" w:hAnsi="宋体" w:cs="E-BZ"/>
          <w:kern w:val="0"/>
          <w:sz w:val="24"/>
        </w:rPr>
        <w:t xml:space="preserve">(1) </w:t>
      </w:r>
      <w:r>
        <w:rPr>
          <w:rFonts w:hint="eastAsia" w:ascii="宋体" w:hAnsi="宋体" w:cs="FZSSK--GBK1-0"/>
          <w:kern w:val="0"/>
          <w:sz w:val="24"/>
        </w:rPr>
        <w:t>统设必修课</w:t>
      </w:r>
      <w:r>
        <w:rPr>
          <w:rFonts w:hint="eastAsia" w:ascii="宋体" w:hAnsi="宋体" w:cs="E-BZ"/>
          <w:kern w:val="0"/>
          <w:sz w:val="24"/>
        </w:rPr>
        <w:t xml:space="preserve">: </w:t>
      </w:r>
      <w:r>
        <w:rPr>
          <w:rFonts w:hint="eastAsia" w:ascii="宋体" w:hAnsi="宋体" w:cs="FZSSK--GBK1-0"/>
          <w:kern w:val="0"/>
          <w:sz w:val="24"/>
        </w:rPr>
        <w:t>国家开放大学学习指南</w:t>
      </w:r>
      <w:r>
        <w:rPr>
          <w:rFonts w:hint="eastAsia" w:ascii="宋体" w:hAnsi="宋体" w:cs="E-BZ"/>
          <w:kern w:val="0"/>
          <w:sz w:val="24"/>
        </w:rPr>
        <w:t>、</w:t>
      </w:r>
      <w:r>
        <w:rPr>
          <w:rFonts w:hint="eastAsia" w:ascii="宋体" w:hAnsi="宋体" w:cs="FZSSK--GBK1-0"/>
          <w:kern w:val="0"/>
          <w:sz w:val="24"/>
        </w:rPr>
        <w:t>中国特色社会主义理论体系概</w:t>
      </w:r>
    </w:p>
    <w:p>
      <w:pPr>
        <w:autoSpaceDE w:val="0"/>
        <w:autoSpaceDN w:val="0"/>
        <w:adjustRightInd w:val="0"/>
        <w:spacing w:line="360" w:lineRule="auto"/>
        <w:jc w:val="left"/>
        <w:rPr>
          <w:rFonts w:ascii="宋体" w:hAnsi="宋体" w:cs="E-BZ"/>
          <w:kern w:val="0"/>
          <w:sz w:val="24"/>
        </w:rPr>
      </w:pPr>
      <w:r>
        <w:rPr>
          <w:rFonts w:hint="eastAsia" w:ascii="宋体" w:hAnsi="宋体" w:cs="FZSSK--GBK1-0"/>
          <w:kern w:val="0"/>
          <w:sz w:val="24"/>
        </w:rPr>
        <w:t>论</w:t>
      </w:r>
      <w:r>
        <w:rPr>
          <w:rFonts w:hint="eastAsia" w:ascii="宋体" w:hAnsi="宋体" w:cs="E-BZ"/>
          <w:kern w:val="0"/>
          <w:sz w:val="24"/>
        </w:rPr>
        <w:t>。</w:t>
      </w:r>
    </w:p>
    <w:p>
      <w:pPr>
        <w:numPr>
          <w:ilvl w:val="0"/>
          <w:numId w:val="1"/>
        </w:numPr>
        <w:autoSpaceDE w:val="0"/>
        <w:autoSpaceDN w:val="0"/>
        <w:adjustRightInd w:val="0"/>
        <w:spacing w:line="360" w:lineRule="auto"/>
        <w:ind w:firstLine="480" w:firstLineChars="200"/>
        <w:jc w:val="left"/>
        <w:rPr>
          <w:rFonts w:hint="eastAsia" w:ascii="宋体" w:hAnsi="宋体" w:cs="E-BZ"/>
          <w:kern w:val="0"/>
          <w:sz w:val="24"/>
        </w:rPr>
      </w:pPr>
      <w:r>
        <w:rPr>
          <w:rFonts w:hint="eastAsia" w:ascii="宋体" w:hAnsi="宋体" w:cs="E-BZ"/>
          <w:kern w:val="0"/>
          <w:sz w:val="24"/>
          <w:lang w:eastAsia="zh-CN"/>
        </w:rPr>
        <w:t>统设</w:t>
      </w:r>
      <w:r>
        <w:rPr>
          <w:rFonts w:hint="eastAsia" w:ascii="宋体" w:hAnsi="宋体" w:cs="FZSSK--GBK1-0"/>
          <w:kern w:val="0"/>
          <w:sz w:val="24"/>
        </w:rPr>
        <w:t>选修课</w:t>
      </w:r>
      <w:r>
        <w:rPr>
          <w:rFonts w:hint="eastAsia" w:ascii="宋体" w:hAnsi="宋体" w:cs="E-BZ"/>
          <w:kern w:val="0"/>
          <w:sz w:val="24"/>
          <w:lang w:eastAsia="zh-CN"/>
        </w:rPr>
        <w:t>：</w:t>
      </w:r>
      <w:r>
        <w:rPr>
          <w:rFonts w:hint="eastAsia" w:ascii="宋体" w:hAnsi="宋体" w:cs="E-BZ"/>
          <w:kern w:val="0"/>
          <w:sz w:val="24"/>
        </w:rPr>
        <w:t>职业生涯规划（1）</w:t>
      </w:r>
      <w:r>
        <w:rPr>
          <w:rFonts w:hint="eastAsia" w:ascii="宋体" w:hAnsi="宋体" w:cs="E-BZ"/>
          <w:kern w:val="0"/>
          <w:sz w:val="24"/>
          <w:lang w:eastAsia="zh-CN"/>
        </w:rPr>
        <w:t>、</w:t>
      </w:r>
      <w:r>
        <w:rPr>
          <w:rFonts w:hint="eastAsia" w:ascii="宋体" w:hAnsi="宋体" w:cs="FZSSK--GBK1-0"/>
          <w:kern w:val="0"/>
          <w:sz w:val="24"/>
        </w:rPr>
        <w:t>计算机应用基础</w:t>
      </w:r>
      <w:r>
        <w:rPr>
          <w:rFonts w:hint="eastAsia" w:ascii="宋体" w:hAnsi="宋体" w:cs="FZSSK--GBK1-0"/>
          <w:kern w:val="0"/>
          <w:sz w:val="24"/>
          <w:lang w:eastAsia="zh-CN"/>
        </w:rPr>
        <w:t>、</w:t>
      </w:r>
      <w:r>
        <w:rPr>
          <w:rFonts w:hint="eastAsia" w:ascii="宋体" w:hAnsi="宋体" w:cs="E-BZ"/>
          <w:kern w:val="0"/>
          <w:sz w:val="24"/>
        </w:rPr>
        <w:t>经济数学基础12、</w:t>
      </w:r>
      <w:r>
        <w:rPr>
          <w:rFonts w:hint="eastAsia" w:ascii="宋体" w:hAnsi="宋体" w:cs="E-BZ"/>
          <w:kern w:val="0"/>
          <w:sz w:val="24"/>
          <w:lang w:eastAsia="zh-CN"/>
        </w:rPr>
        <w:t>统计学原理。</w:t>
      </w:r>
    </w:p>
    <w:p>
      <w:pPr>
        <w:numPr>
          <w:ilvl w:val="0"/>
          <w:numId w:val="1"/>
        </w:numPr>
        <w:autoSpaceDE w:val="0"/>
        <w:autoSpaceDN w:val="0"/>
        <w:adjustRightInd w:val="0"/>
        <w:spacing w:line="360" w:lineRule="auto"/>
        <w:ind w:firstLine="480" w:firstLineChars="200"/>
        <w:jc w:val="left"/>
        <w:rPr>
          <w:rFonts w:hint="eastAsia" w:ascii="宋体" w:hAnsi="宋体" w:cs="E-BZ"/>
          <w:kern w:val="0"/>
          <w:sz w:val="24"/>
        </w:rPr>
      </w:pPr>
      <w:r>
        <w:rPr>
          <w:rFonts w:hint="eastAsia" w:ascii="宋体" w:hAnsi="宋体" w:cs="E-BZ"/>
          <w:kern w:val="0"/>
          <w:sz w:val="24"/>
          <w:lang w:eastAsia="zh-CN"/>
        </w:rPr>
        <w:t>非统设选修课：</w:t>
      </w:r>
      <w:r>
        <w:rPr>
          <w:rFonts w:hint="eastAsia" w:ascii="宋体" w:hAnsi="宋体" w:cs="E-BZ"/>
          <w:kern w:val="0"/>
          <w:sz w:val="24"/>
        </w:rPr>
        <w:t>职业英语（专）。</w:t>
      </w:r>
    </w:p>
    <w:p>
      <w:pPr>
        <w:numPr>
          <w:numId w:val="0"/>
        </w:numPr>
        <w:autoSpaceDE w:val="0"/>
        <w:autoSpaceDN w:val="0"/>
        <w:adjustRightInd w:val="0"/>
        <w:spacing w:line="360" w:lineRule="auto"/>
        <w:ind w:firstLine="420" w:firstLineChars="0"/>
        <w:jc w:val="left"/>
        <w:rPr>
          <w:rFonts w:hint="eastAsia" w:ascii="宋体" w:hAnsi="宋体" w:eastAsia="宋体" w:cs="E-BZ"/>
          <w:kern w:val="0"/>
          <w:sz w:val="24"/>
          <w:lang w:eastAsia="zh-CN"/>
        </w:rPr>
      </w:pPr>
      <w:r>
        <w:rPr>
          <w:rFonts w:hint="eastAsia" w:ascii="宋体" w:hAnsi="宋体" w:cs="E-BZ"/>
          <w:kern w:val="0"/>
          <w:sz w:val="24"/>
        </w:rPr>
        <w:t>经济数学基础12</w:t>
      </w:r>
      <w:r>
        <w:rPr>
          <w:rFonts w:hint="eastAsia" w:ascii="宋体" w:hAnsi="宋体" w:cs="E-BZ"/>
          <w:kern w:val="0"/>
          <w:sz w:val="24"/>
          <w:lang w:eastAsia="zh-CN"/>
        </w:rPr>
        <w:t>课程可以培养学生数学思维，但对学生实际工作用途不是很明显，</w:t>
      </w:r>
      <w:r>
        <w:rPr>
          <w:rFonts w:hint="eastAsia" w:ascii="宋体" w:hAnsi="宋体" w:cs="Tahoma"/>
          <w:color w:val="000000"/>
          <w:kern w:val="0"/>
          <w:sz w:val="24"/>
          <w:lang w:eastAsia="zh-CN"/>
        </w:rPr>
        <w:t>且</w:t>
      </w:r>
      <w:r>
        <w:rPr>
          <w:rFonts w:hint="eastAsia" w:ascii="宋体" w:hAnsi="宋体" w:cs="E-BZ"/>
          <w:kern w:val="0"/>
          <w:sz w:val="24"/>
          <w:lang w:eastAsia="zh-CN"/>
        </w:rPr>
        <w:t>课程考试难度过大，故设为选修课。</w:t>
      </w:r>
    </w:p>
    <w:p>
      <w:pPr>
        <w:autoSpaceDE w:val="0"/>
        <w:autoSpaceDN w:val="0"/>
        <w:adjustRightInd w:val="0"/>
        <w:spacing w:line="360" w:lineRule="auto"/>
        <w:ind w:firstLine="480" w:firstLineChars="200"/>
        <w:jc w:val="left"/>
        <w:rPr>
          <w:rFonts w:ascii="宋体" w:hAnsi="宋体" w:cs="FZSSK--GBK1-0"/>
          <w:kern w:val="0"/>
          <w:sz w:val="24"/>
        </w:rPr>
      </w:pPr>
      <w:r>
        <w:rPr>
          <w:rFonts w:hint="eastAsia" w:ascii="宋体" w:hAnsi="宋体" w:cs="E-BZ"/>
          <w:kern w:val="0"/>
          <w:sz w:val="24"/>
        </w:rPr>
        <w:t>2、</w:t>
      </w:r>
      <w:r>
        <w:rPr>
          <w:rFonts w:hint="eastAsia" w:ascii="宋体" w:hAnsi="宋体" w:cs="FZSSK--GBK1-0"/>
          <w:kern w:val="0"/>
          <w:sz w:val="24"/>
        </w:rPr>
        <w:t>专业基础课</w:t>
      </w:r>
    </w:p>
    <w:p>
      <w:pPr>
        <w:autoSpaceDE w:val="0"/>
        <w:autoSpaceDN w:val="0"/>
        <w:adjustRightInd w:val="0"/>
        <w:spacing w:line="360" w:lineRule="auto"/>
        <w:ind w:firstLine="480" w:firstLineChars="200"/>
        <w:jc w:val="left"/>
        <w:rPr>
          <w:rFonts w:hint="eastAsia" w:ascii="宋体" w:hAnsi="宋体" w:cs="E-BZ"/>
          <w:kern w:val="0"/>
          <w:sz w:val="24"/>
        </w:rPr>
      </w:pPr>
      <w:r>
        <w:rPr>
          <w:rFonts w:hint="eastAsia" w:ascii="宋体" w:hAnsi="宋体" w:cs="FZSSK--GBK1-0"/>
          <w:kern w:val="0"/>
          <w:sz w:val="24"/>
        </w:rPr>
        <w:t>该模块国家开放大学考试最低学分为</w:t>
      </w:r>
      <w:r>
        <w:rPr>
          <w:rFonts w:hint="eastAsia" w:ascii="宋体" w:hAnsi="宋体" w:cs="E-BZ"/>
          <w:kern w:val="0"/>
          <w:sz w:val="24"/>
          <w:lang w:val="en-US" w:eastAsia="zh-CN"/>
        </w:rPr>
        <w:t>0</w:t>
      </w:r>
      <w:r>
        <w:rPr>
          <w:rFonts w:hint="eastAsia" w:ascii="宋体" w:hAnsi="宋体" w:cs="FZSSK--GBK1-0"/>
          <w:kern w:val="0"/>
          <w:sz w:val="24"/>
        </w:rPr>
        <w:t>学分</w:t>
      </w:r>
      <w:r>
        <w:rPr>
          <w:rFonts w:hint="eastAsia" w:ascii="宋体" w:hAnsi="宋体" w:cs="E-BZ"/>
          <w:kern w:val="0"/>
          <w:sz w:val="24"/>
        </w:rPr>
        <w:t>，</w:t>
      </w:r>
      <w:r>
        <w:rPr>
          <w:rFonts w:hint="eastAsia" w:ascii="宋体" w:hAnsi="宋体" w:cs="FZSSK--GBK1-0"/>
          <w:kern w:val="0"/>
          <w:sz w:val="24"/>
        </w:rPr>
        <w:t>模块设置最低学分为</w:t>
      </w:r>
      <w:r>
        <w:rPr>
          <w:rFonts w:hint="eastAsia" w:ascii="宋体" w:hAnsi="宋体" w:cs="E-BZ"/>
          <w:kern w:val="0"/>
          <w:sz w:val="24"/>
          <w:lang w:val="en-US" w:eastAsia="zh-CN"/>
        </w:rPr>
        <w:t>20</w:t>
      </w:r>
      <w:r>
        <w:rPr>
          <w:rFonts w:hint="eastAsia" w:ascii="宋体" w:hAnsi="宋体" w:cs="FZSSK--GBK1-0"/>
          <w:kern w:val="0"/>
          <w:sz w:val="24"/>
        </w:rPr>
        <w:t>学分</w:t>
      </w:r>
      <w:r>
        <w:rPr>
          <w:rFonts w:hint="eastAsia" w:ascii="宋体" w:hAnsi="宋体" w:cs="FZSSK--GBK1-0"/>
          <w:kern w:val="0"/>
          <w:sz w:val="24"/>
          <w:lang w:eastAsia="zh-CN"/>
        </w:rPr>
        <w:t>，模块毕业最低学分</w:t>
      </w:r>
      <w:r>
        <w:rPr>
          <w:rFonts w:hint="eastAsia" w:ascii="宋体" w:hAnsi="宋体" w:cs="FZSSK--GBK1-0"/>
          <w:kern w:val="0"/>
          <w:sz w:val="24"/>
          <w:lang w:val="en-US" w:eastAsia="zh-CN"/>
        </w:rPr>
        <w:t>20</w:t>
      </w:r>
      <w:r>
        <w:rPr>
          <w:rFonts w:hint="eastAsia" w:ascii="宋体" w:hAnsi="宋体" w:cs="FZSSK--GBK1-0"/>
          <w:kern w:val="0"/>
          <w:sz w:val="24"/>
          <w:lang w:eastAsia="zh-CN"/>
        </w:rPr>
        <w:t>学分</w:t>
      </w:r>
      <w:r>
        <w:rPr>
          <w:rFonts w:hint="eastAsia" w:ascii="宋体" w:hAnsi="宋体" w:cs="E-BZ"/>
          <w:kern w:val="0"/>
          <w:sz w:val="24"/>
        </w:rPr>
        <w:t>。</w:t>
      </w:r>
    </w:p>
    <w:p>
      <w:pPr>
        <w:numPr>
          <w:ilvl w:val="0"/>
          <w:numId w:val="2"/>
        </w:numPr>
        <w:autoSpaceDE w:val="0"/>
        <w:autoSpaceDN w:val="0"/>
        <w:adjustRightInd w:val="0"/>
        <w:spacing w:line="360" w:lineRule="auto"/>
        <w:ind w:firstLine="480" w:firstLineChars="200"/>
        <w:jc w:val="left"/>
        <w:rPr>
          <w:rFonts w:hint="eastAsia" w:ascii="宋体" w:hAnsi="宋体" w:cs="FZSSK--GBK1-0"/>
          <w:kern w:val="0"/>
          <w:sz w:val="24"/>
        </w:rPr>
      </w:pPr>
      <w:r>
        <w:rPr>
          <w:rFonts w:hint="eastAsia" w:ascii="宋体" w:hAnsi="宋体" w:cs="E-BZ"/>
          <w:kern w:val="0"/>
          <w:sz w:val="24"/>
          <w:lang w:eastAsia="zh-CN"/>
        </w:rPr>
        <w:t>统设</w:t>
      </w:r>
      <w:r>
        <w:rPr>
          <w:rFonts w:hint="eastAsia" w:ascii="宋体" w:hAnsi="宋体" w:cs="FZSSK--GBK1-0"/>
          <w:kern w:val="0"/>
          <w:sz w:val="24"/>
        </w:rPr>
        <w:t>选修课</w:t>
      </w:r>
      <w:r>
        <w:rPr>
          <w:rFonts w:hint="eastAsia" w:ascii="宋体" w:hAnsi="宋体" w:cs="E-BZ"/>
          <w:kern w:val="0"/>
          <w:sz w:val="24"/>
          <w:lang w:eastAsia="zh-CN"/>
        </w:rPr>
        <w:t>：</w:t>
      </w:r>
      <w:r>
        <w:rPr>
          <w:rFonts w:hint="eastAsia" w:ascii="宋体" w:hAnsi="宋体" w:cs="FZSSK--GBK1-0"/>
          <w:kern w:val="0"/>
          <w:sz w:val="24"/>
        </w:rPr>
        <w:t>管理学基础、</w:t>
      </w:r>
      <w:r>
        <w:rPr>
          <w:rFonts w:hint="eastAsia" w:ascii="宋体" w:hAnsi="宋体" w:cs="E-BZ"/>
          <w:kern w:val="0"/>
          <w:sz w:val="24"/>
          <w:lang w:eastAsia="zh-CN"/>
        </w:rPr>
        <w:t>人力资源与管理、</w:t>
      </w:r>
      <w:r>
        <w:rPr>
          <w:rFonts w:hint="eastAsia" w:ascii="宋体" w:hAnsi="宋体" w:cs="FZSSK--GBK1-0"/>
          <w:kern w:val="0"/>
          <w:sz w:val="24"/>
        </w:rPr>
        <w:t>市场营销学</w:t>
      </w:r>
      <w:r>
        <w:rPr>
          <w:rFonts w:hint="eastAsia" w:ascii="宋体" w:hAnsi="宋体" w:cs="FZSSK--GBK1-0"/>
          <w:kern w:val="0"/>
          <w:sz w:val="24"/>
          <w:lang w:eastAsia="zh-CN"/>
        </w:rPr>
        <w:t>、</w:t>
      </w:r>
      <w:r>
        <w:rPr>
          <w:rFonts w:hint="eastAsia" w:ascii="宋体" w:hAnsi="宋体" w:cs="FZSSK--GBK1-0"/>
          <w:kern w:val="0"/>
          <w:sz w:val="24"/>
        </w:rPr>
        <w:t>基础会计、</w:t>
      </w:r>
      <w:r>
        <w:rPr>
          <w:rFonts w:hint="eastAsia" w:ascii="宋体" w:hAnsi="宋体" w:cs="FZSSK--GBK1-0"/>
          <w:kern w:val="0"/>
          <w:sz w:val="24"/>
          <w:lang w:eastAsia="zh-CN"/>
        </w:rPr>
        <w:t>生产与运作管理</w:t>
      </w:r>
      <w:r>
        <w:rPr>
          <w:rFonts w:hint="eastAsia" w:ascii="宋体" w:hAnsi="宋体" w:cs="E-BZ"/>
          <w:kern w:val="0"/>
          <w:sz w:val="24"/>
        </w:rPr>
        <w:t>。</w:t>
      </w:r>
    </w:p>
    <w:p>
      <w:pPr>
        <w:numPr>
          <w:ilvl w:val="0"/>
          <w:numId w:val="2"/>
        </w:numPr>
        <w:autoSpaceDE w:val="0"/>
        <w:autoSpaceDN w:val="0"/>
        <w:adjustRightInd w:val="0"/>
        <w:spacing w:line="360" w:lineRule="auto"/>
        <w:ind w:firstLine="480" w:firstLineChars="200"/>
        <w:jc w:val="left"/>
        <w:rPr>
          <w:rFonts w:ascii="宋体" w:hAnsi="宋体" w:cs="E-BZ"/>
          <w:kern w:val="0"/>
          <w:sz w:val="24"/>
        </w:rPr>
      </w:pPr>
      <w:r>
        <w:rPr>
          <w:rFonts w:hint="eastAsia" w:ascii="宋体" w:hAnsi="宋体" w:cs="FZSSK--GBK1-0"/>
          <w:kern w:val="0"/>
          <w:sz w:val="24"/>
          <w:lang w:eastAsia="zh-CN"/>
        </w:rPr>
        <w:t>非</w:t>
      </w:r>
      <w:r>
        <w:rPr>
          <w:rFonts w:hint="eastAsia" w:ascii="宋体" w:hAnsi="宋体" w:cs="FZSSK--GBK1-0"/>
          <w:kern w:val="0"/>
          <w:sz w:val="24"/>
        </w:rPr>
        <w:t>统设</w:t>
      </w:r>
      <w:r>
        <w:rPr>
          <w:rFonts w:hint="eastAsia" w:ascii="宋体" w:hAnsi="宋体" w:cs="FZSSK--GBK1-0"/>
          <w:kern w:val="0"/>
          <w:sz w:val="24"/>
          <w:lang w:eastAsia="zh-CN"/>
        </w:rPr>
        <w:t>选</w:t>
      </w:r>
      <w:r>
        <w:rPr>
          <w:rFonts w:hint="eastAsia" w:ascii="宋体" w:hAnsi="宋体" w:cs="FZSSK--GBK1-0"/>
          <w:kern w:val="0"/>
          <w:sz w:val="24"/>
        </w:rPr>
        <w:t>修课</w:t>
      </w:r>
      <w:r>
        <w:rPr>
          <w:rFonts w:hint="eastAsia" w:ascii="宋体" w:hAnsi="宋体" w:cs="E-BZ"/>
          <w:kern w:val="0"/>
          <w:sz w:val="24"/>
          <w:lang w:eastAsia="zh-CN"/>
        </w:rPr>
        <w:t>：</w:t>
      </w:r>
      <w:r>
        <w:rPr>
          <w:rFonts w:hint="eastAsia" w:ascii="宋体" w:hAnsi="宋体" w:cs="FZSSK--GBK1-0"/>
          <w:kern w:val="0"/>
          <w:sz w:val="24"/>
        </w:rPr>
        <w:t>通用管理实务、企业现场基础管理。</w:t>
      </w:r>
    </w:p>
    <w:p>
      <w:pPr>
        <w:autoSpaceDE w:val="0"/>
        <w:autoSpaceDN w:val="0"/>
        <w:adjustRightInd w:val="0"/>
        <w:spacing w:line="360" w:lineRule="auto"/>
        <w:ind w:firstLine="480" w:firstLineChars="200"/>
        <w:jc w:val="left"/>
        <w:rPr>
          <w:rFonts w:ascii="宋体" w:hAnsi="宋体" w:cs="FZSSK--GBK1-0"/>
          <w:kern w:val="0"/>
          <w:sz w:val="24"/>
        </w:rPr>
      </w:pPr>
      <w:r>
        <w:rPr>
          <w:rFonts w:hint="eastAsia" w:ascii="宋体" w:hAnsi="宋体" w:cs="E-BZ"/>
          <w:kern w:val="0"/>
          <w:sz w:val="24"/>
        </w:rPr>
        <w:t>3、</w:t>
      </w:r>
      <w:r>
        <w:rPr>
          <w:rFonts w:hint="eastAsia" w:ascii="宋体" w:hAnsi="宋体" w:cs="FZSSK--GBK1-0"/>
          <w:kern w:val="0"/>
          <w:sz w:val="24"/>
        </w:rPr>
        <w:t>专业核心课</w:t>
      </w:r>
    </w:p>
    <w:p>
      <w:pPr>
        <w:autoSpaceDE w:val="0"/>
        <w:autoSpaceDN w:val="0"/>
        <w:adjustRightInd w:val="0"/>
        <w:spacing w:line="360" w:lineRule="auto"/>
        <w:ind w:firstLine="480" w:firstLineChars="200"/>
        <w:jc w:val="left"/>
        <w:rPr>
          <w:rFonts w:ascii="宋体" w:hAnsi="宋体" w:cs="E-BZ"/>
          <w:kern w:val="0"/>
          <w:sz w:val="24"/>
        </w:rPr>
      </w:pPr>
      <w:r>
        <w:rPr>
          <w:rFonts w:hint="eastAsia" w:ascii="宋体" w:hAnsi="宋体" w:cs="FZSSK--GBK1-0"/>
          <w:kern w:val="0"/>
          <w:sz w:val="24"/>
        </w:rPr>
        <w:t>该模块国家开放大学考试最低学分为</w:t>
      </w:r>
      <w:r>
        <w:rPr>
          <w:rFonts w:hint="eastAsia" w:ascii="宋体" w:hAnsi="宋体" w:cs="E-BZ"/>
          <w:kern w:val="0"/>
          <w:sz w:val="24"/>
          <w:lang w:val="en-US" w:eastAsia="zh-CN"/>
        </w:rPr>
        <w:t>17</w:t>
      </w:r>
      <w:r>
        <w:rPr>
          <w:rFonts w:hint="eastAsia" w:ascii="宋体" w:hAnsi="宋体" w:cs="FZSSK--GBK1-0"/>
          <w:kern w:val="0"/>
          <w:sz w:val="24"/>
        </w:rPr>
        <w:t>学分</w:t>
      </w:r>
      <w:r>
        <w:rPr>
          <w:rFonts w:hint="eastAsia" w:ascii="宋体" w:hAnsi="宋体" w:cs="E-BZ"/>
          <w:kern w:val="0"/>
          <w:sz w:val="24"/>
        </w:rPr>
        <w:t>，</w:t>
      </w:r>
      <w:r>
        <w:rPr>
          <w:rFonts w:hint="eastAsia" w:ascii="宋体" w:hAnsi="宋体" w:cs="FZSSK--GBK1-0"/>
          <w:kern w:val="0"/>
          <w:sz w:val="24"/>
        </w:rPr>
        <w:t>模块设置最低学分为</w:t>
      </w:r>
      <w:r>
        <w:rPr>
          <w:rFonts w:hint="eastAsia" w:ascii="宋体" w:hAnsi="宋体" w:cs="E-BZ"/>
          <w:kern w:val="0"/>
          <w:sz w:val="24"/>
          <w:lang w:val="en-US" w:eastAsia="zh-CN"/>
        </w:rPr>
        <w:t>22</w:t>
      </w:r>
      <w:r>
        <w:rPr>
          <w:rFonts w:hint="eastAsia" w:ascii="宋体" w:hAnsi="宋体" w:cs="FZSSK--GBK1-0"/>
          <w:kern w:val="0"/>
          <w:sz w:val="24"/>
        </w:rPr>
        <w:t>学分</w:t>
      </w:r>
      <w:r>
        <w:rPr>
          <w:rFonts w:hint="eastAsia" w:ascii="宋体" w:hAnsi="宋体" w:cs="FZSSK--GBK1-0"/>
          <w:kern w:val="0"/>
          <w:sz w:val="24"/>
          <w:lang w:eastAsia="zh-CN"/>
        </w:rPr>
        <w:t>，模块毕业最低学分</w:t>
      </w:r>
      <w:r>
        <w:rPr>
          <w:rFonts w:hint="eastAsia" w:ascii="宋体" w:hAnsi="宋体" w:cs="FZSSK--GBK1-0"/>
          <w:kern w:val="0"/>
          <w:sz w:val="24"/>
          <w:lang w:val="en-US" w:eastAsia="zh-CN"/>
        </w:rPr>
        <w:t>22</w:t>
      </w:r>
      <w:r>
        <w:rPr>
          <w:rFonts w:hint="eastAsia" w:ascii="宋体" w:hAnsi="宋体" w:cs="FZSSK--GBK1-0"/>
          <w:kern w:val="0"/>
          <w:sz w:val="24"/>
          <w:lang w:eastAsia="zh-CN"/>
        </w:rPr>
        <w:t>学分</w:t>
      </w:r>
      <w:r>
        <w:rPr>
          <w:rFonts w:hint="eastAsia" w:ascii="宋体" w:hAnsi="宋体" w:cs="E-BZ"/>
          <w:kern w:val="0"/>
          <w:sz w:val="24"/>
        </w:rPr>
        <w:t>。</w:t>
      </w:r>
    </w:p>
    <w:p>
      <w:pPr>
        <w:numPr>
          <w:ilvl w:val="0"/>
          <w:numId w:val="3"/>
        </w:numPr>
        <w:autoSpaceDE w:val="0"/>
        <w:autoSpaceDN w:val="0"/>
        <w:adjustRightInd w:val="0"/>
        <w:spacing w:line="360" w:lineRule="auto"/>
        <w:ind w:firstLine="480" w:firstLineChars="200"/>
        <w:jc w:val="left"/>
        <w:rPr>
          <w:rFonts w:hint="eastAsia" w:ascii="宋体" w:hAnsi="宋体" w:cs="FZSSK--GBK1-0"/>
          <w:kern w:val="0"/>
          <w:sz w:val="24"/>
        </w:rPr>
      </w:pPr>
      <w:r>
        <w:rPr>
          <w:rFonts w:hint="eastAsia" w:ascii="宋体" w:hAnsi="宋体" w:cs="FZSSK--GBK1-0"/>
          <w:kern w:val="0"/>
          <w:sz w:val="24"/>
        </w:rPr>
        <w:t>统设必修课</w:t>
      </w:r>
      <w:r>
        <w:rPr>
          <w:rFonts w:hint="eastAsia" w:ascii="宋体" w:hAnsi="宋体" w:cs="E-BZ"/>
          <w:kern w:val="0"/>
          <w:sz w:val="24"/>
        </w:rPr>
        <w:t>:</w:t>
      </w:r>
      <w:r>
        <w:rPr>
          <w:rFonts w:hint="eastAsia" w:ascii="宋体" w:hAnsi="宋体" w:cs="FZSSK--GBK1-0"/>
          <w:kern w:val="0"/>
          <w:sz w:val="24"/>
        </w:rPr>
        <w:t>企业现场质量</w:t>
      </w:r>
      <w:r>
        <w:rPr>
          <w:rFonts w:hint="eastAsia" w:ascii="宋体" w:hAnsi="宋体" w:cs="FZSSK--GBK1-0"/>
          <w:kern w:val="0"/>
          <w:sz w:val="24"/>
          <w:lang w:eastAsia="zh-CN"/>
        </w:rPr>
        <w:t>管理、企业生产</w:t>
      </w:r>
      <w:r>
        <w:rPr>
          <w:rFonts w:hint="eastAsia" w:ascii="宋体" w:hAnsi="宋体" w:cs="FZSSK--GBK1-0"/>
          <w:kern w:val="0"/>
          <w:sz w:val="24"/>
        </w:rPr>
        <w:t>成本管理、</w:t>
      </w:r>
      <w:r>
        <w:rPr>
          <w:rFonts w:hint="eastAsia" w:ascii="宋体" w:hAnsi="宋体" w:cs="FZSSK--GBK1-0"/>
          <w:kern w:val="0"/>
          <w:sz w:val="24"/>
          <w:lang w:eastAsia="zh-CN"/>
        </w:rPr>
        <w:t>精益生产、</w:t>
      </w:r>
      <w:r>
        <w:rPr>
          <w:rFonts w:hint="eastAsia" w:ascii="宋体" w:hAnsi="宋体" w:cs="FZSSK--GBK1-0"/>
          <w:kern w:val="0"/>
          <w:sz w:val="24"/>
        </w:rPr>
        <w:t>企业现场改善实务。</w:t>
      </w:r>
    </w:p>
    <w:p>
      <w:pPr>
        <w:numPr>
          <w:ilvl w:val="0"/>
          <w:numId w:val="3"/>
        </w:numPr>
        <w:autoSpaceDE w:val="0"/>
        <w:autoSpaceDN w:val="0"/>
        <w:adjustRightInd w:val="0"/>
        <w:spacing w:line="360" w:lineRule="auto"/>
        <w:ind w:firstLine="480" w:firstLineChars="200"/>
        <w:jc w:val="left"/>
        <w:rPr>
          <w:rFonts w:hint="eastAsia" w:ascii="宋体" w:hAnsi="宋体" w:cs="FZSSK--GBK1-0"/>
          <w:kern w:val="0"/>
          <w:sz w:val="24"/>
        </w:rPr>
      </w:pPr>
      <w:r>
        <w:rPr>
          <w:rFonts w:hint="eastAsia" w:ascii="宋体" w:hAnsi="宋体" w:cs="FZSSK--GBK1-0"/>
          <w:kern w:val="0"/>
          <w:sz w:val="24"/>
          <w:lang w:eastAsia="zh-CN"/>
        </w:rPr>
        <w:t>统设选修课：供应链管理。</w:t>
      </w:r>
    </w:p>
    <w:p>
      <w:pPr>
        <w:autoSpaceDE w:val="0"/>
        <w:autoSpaceDN w:val="0"/>
        <w:adjustRightInd w:val="0"/>
        <w:spacing w:line="360" w:lineRule="auto"/>
        <w:ind w:firstLine="480" w:firstLineChars="200"/>
        <w:jc w:val="left"/>
        <w:rPr>
          <w:rFonts w:ascii="宋体" w:hAnsi="宋体" w:cs="FZSSK--GBK1-0"/>
          <w:kern w:val="0"/>
          <w:sz w:val="24"/>
        </w:rPr>
      </w:pPr>
      <w:r>
        <w:rPr>
          <w:rFonts w:hint="eastAsia" w:ascii="宋体" w:hAnsi="宋体" w:cs="FZSSK--GBK1-0"/>
          <w:kern w:val="0"/>
          <w:sz w:val="24"/>
        </w:rPr>
        <w:t xml:space="preserve">(2) </w:t>
      </w:r>
      <w:r>
        <w:rPr>
          <w:rFonts w:hint="eastAsia" w:ascii="宋体" w:hAnsi="宋体" w:cs="FZSSK--GBK1-0"/>
          <w:kern w:val="0"/>
          <w:sz w:val="24"/>
          <w:lang w:eastAsia="zh-CN"/>
        </w:rPr>
        <w:t>非统设</w:t>
      </w:r>
      <w:r>
        <w:rPr>
          <w:rFonts w:hint="eastAsia" w:ascii="宋体" w:hAnsi="宋体" w:cs="FZSSK--GBK1-0"/>
          <w:kern w:val="0"/>
          <w:sz w:val="24"/>
        </w:rPr>
        <w:t>选修课：</w:t>
      </w:r>
      <w:r>
        <w:rPr>
          <w:rFonts w:hint="eastAsia" w:ascii="宋体" w:hAnsi="宋体" w:cs="FZSSK--GBK1-0"/>
          <w:kern w:val="0"/>
          <w:sz w:val="24"/>
          <w:lang w:eastAsia="zh-CN"/>
        </w:rPr>
        <w:t>仓储管理、工业工程基础</w:t>
      </w:r>
      <w:r>
        <w:rPr>
          <w:rFonts w:hint="eastAsia" w:ascii="宋体" w:hAnsi="宋体" w:cs="FZSSK--GBK1-0"/>
          <w:kern w:val="0"/>
          <w:sz w:val="24"/>
        </w:rPr>
        <w:t>、</w:t>
      </w:r>
      <w:r>
        <w:rPr>
          <w:rFonts w:hint="eastAsia" w:ascii="宋体" w:hAnsi="宋体" w:cs="FZSSK--GBK1-0"/>
          <w:kern w:val="0"/>
          <w:sz w:val="24"/>
          <w:lang w:eastAsia="zh-CN"/>
        </w:rPr>
        <w:t>企业现场管理专项能力认证培训</w:t>
      </w:r>
      <w:r>
        <w:rPr>
          <w:rFonts w:hint="eastAsia" w:ascii="宋体" w:hAnsi="宋体" w:cs="FZSSK--GBK1-0"/>
          <w:kern w:val="0"/>
          <w:sz w:val="24"/>
        </w:rPr>
        <w:t>。</w:t>
      </w:r>
    </w:p>
    <w:p>
      <w:pPr>
        <w:autoSpaceDE w:val="0"/>
        <w:autoSpaceDN w:val="0"/>
        <w:adjustRightInd w:val="0"/>
        <w:spacing w:line="360" w:lineRule="auto"/>
        <w:ind w:firstLine="480" w:firstLineChars="200"/>
        <w:jc w:val="left"/>
        <w:rPr>
          <w:rFonts w:ascii="宋体" w:hAnsi="宋体" w:cs="FZSSK--GBK1-0"/>
          <w:kern w:val="0"/>
          <w:sz w:val="24"/>
        </w:rPr>
      </w:pPr>
      <w:r>
        <w:rPr>
          <w:rFonts w:hint="eastAsia" w:ascii="宋体" w:hAnsi="宋体" w:cs="E-BZ"/>
          <w:kern w:val="0"/>
          <w:sz w:val="24"/>
        </w:rPr>
        <w:t>4、</w:t>
      </w:r>
      <w:r>
        <w:rPr>
          <w:rFonts w:hint="eastAsia" w:ascii="宋体" w:hAnsi="宋体" w:cs="FZSSK--GBK1-0"/>
          <w:kern w:val="0"/>
          <w:sz w:val="24"/>
        </w:rPr>
        <w:t>通识课</w:t>
      </w:r>
    </w:p>
    <w:p>
      <w:pPr>
        <w:autoSpaceDE w:val="0"/>
        <w:autoSpaceDN w:val="0"/>
        <w:adjustRightInd w:val="0"/>
        <w:spacing w:line="360" w:lineRule="auto"/>
        <w:ind w:firstLine="480" w:firstLineChars="200"/>
        <w:jc w:val="left"/>
        <w:rPr>
          <w:rFonts w:ascii="宋体" w:hAnsi="宋体" w:cs="FZSSK--GBK1-0"/>
          <w:kern w:val="0"/>
          <w:sz w:val="24"/>
        </w:rPr>
      </w:pPr>
      <w:r>
        <w:rPr>
          <w:rFonts w:hint="eastAsia" w:ascii="宋体" w:hAnsi="宋体" w:cs="FZSSK--GBK1-0"/>
          <w:kern w:val="0"/>
          <w:sz w:val="24"/>
        </w:rPr>
        <w:t>国家开放大学设置统一的通识课程平台</w:t>
      </w:r>
      <w:r>
        <w:rPr>
          <w:rFonts w:hint="eastAsia" w:ascii="宋体" w:hAnsi="宋体" w:cs="E-BZ"/>
          <w:kern w:val="0"/>
          <w:sz w:val="24"/>
        </w:rPr>
        <w:t xml:space="preserve">, </w:t>
      </w:r>
      <w:r>
        <w:rPr>
          <w:rFonts w:hint="eastAsia" w:ascii="宋体" w:hAnsi="宋体" w:cs="FZSSK--GBK1-0"/>
          <w:kern w:val="0"/>
          <w:sz w:val="24"/>
        </w:rPr>
        <w:t>所有专业适用此平台的课程</w:t>
      </w:r>
      <w:r>
        <w:rPr>
          <w:rFonts w:hint="eastAsia" w:ascii="宋体" w:hAnsi="宋体" w:cs="E-BZ"/>
          <w:kern w:val="0"/>
          <w:sz w:val="24"/>
        </w:rPr>
        <w:t>；</w:t>
      </w:r>
      <w:r>
        <w:rPr>
          <w:rFonts w:hint="eastAsia" w:ascii="宋体" w:hAnsi="宋体" w:cs="FZSSK--GBK1-0"/>
          <w:kern w:val="0"/>
          <w:sz w:val="24"/>
        </w:rPr>
        <w:t>通识</w:t>
      </w:r>
    </w:p>
    <w:p>
      <w:pPr>
        <w:autoSpaceDE w:val="0"/>
        <w:autoSpaceDN w:val="0"/>
        <w:adjustRightInd w:val="0"/>
        <w:spacing w:line="360" w:lineRule="auto"/>
        <w:jc w:val="left"/>
        <w:rPr>
          <w:rFonts w:ascii="宋体" w:hAnsi="宋体" w:cs="FZSSK--GBK1-0"/>
          <w:kern w:val="0"/>
          <w:sz w:val="24"/>
        </w:rPr>
      </w:pPr>
      <w:r>
        <w:rPr>
          <w:rFonts w:hint="eastAsia" w:ascii="宋体" w:hAnsi="宋体" w:cs="FZSSK--GBK1-0"/>
          <w:kern w:val="0"/>
          <w:sz w:val="24"/>
        </w:rPr>
        <w:t>课模块毕业最低学分为</w:t>
      </w:r>
      <w:r>
        <w:rPr>
          <w:rFonts w:hint="eastAsia" w:ascii="宋体" w:hAnsi="宋体" w:cs="E-BZ"/>
          <w:kern w:val="0"/>
          <w:sz w:val="24"/>
        </w:rPr>
        <w:t>2</w:t>
      </w:r>
      <w:r>
        <w:rPr>
          <w:rFonts w:hint="eastAsia" w:ascii="宋体" w:hAnsi="宋体" w:cs="FZSSK--GBK1-0"/>
          <w:kern w:val="0"/>
          <w:sz w:val="24"/>
        </w:rPr>
        <w:t>学分</w:t>
      </w:r>
      <w:r>
        <w:rPr>
          <w:rFonts w:hint="eastAsia" w:ascii="宋体" w:hAnsi="宋体" w:cs="E-BZ"/>
          <w:kern w:val="0"/>
          <w:sz w:val="24"/>
        </w:rPr>
        <w:t>；</w:t>
      </w:r>
      <w:r>
        <w:rPr>
          <w:rFonts w:hint="eastAsia" w:ascii="宋体" w:hAnsi="宋体" w:cs="FZSSK--GBK1-0"/>
          <w:kern w:val="0"/>
          <w:sz w:val="24"/>
        </w:rPr>
        <w:t>通识课设置及通识教育是国家开放大学人才培养的特色之一</w:t>
      </w:r>
      <w:r>
        <w:rPr>
          <w:rFonts w:hint="eastAsia" w:ascii="宋体" w:hAnsi="宋体" w:cs="E-BZ"/>
          <w:kern w:val="0"/>
          <w:sz w:val="24"/>
        </w:rPr>
        <w:t>,</w:t>
      </w:r>
      <w:r>
        <w:rPr>
          <w:rFonts w:hint="eastAsia" w:ascii="宋体" w:hAnsi="宋体" w:cs="FZSSK--GBK1-0"/>
          <w:kern w:val="0"/>
          <w:sz w:val="24"/>
        </w:rPr>
        <w:t>是实施素质教育的具体措施</w:t>
      </w:r>
      <w:r>
        <w:rPr>
          <w:rFonts w:hint="eastAsia" w:ascii="宋体" w:hAnsi="宋体" w:cs="E-BZ"/>
          <w:kern w:val="0"/>
          <w:sz w:val="24"/>
        </w:rPr>
        <w:t xml:space="preserve">, </w:t>
      </w:r>
      <w:r>
        <w:rPr>
          <w:rFonts w:hint="eastAsia" w:ascii="宋体" w:hAnsi="宋体" w:cs="FZSSK--GBK1-0"/>
          <w:kern w:val="0"/>
          <w:sz w:val="24"/>
        </w:rPr>
        <w:t>通识课模块课程不得免修免考</w:t>
      </w:r>
      <w:r>
        <w:rPr>
          <w:rFonts w:hint="eastAsia" w:ascii="宋体" w:hAnsi="宋体" w:cs="E-BZ"/>
          <w:kern w:val="0"/>
          <w:sz w:val="24"/>
        </w:rPr>
        <w:t>；</w:t>
      </w:r>
      <w:r>
        <w:rPr>
          <w:rFonts w:hint="eastAsia" w:ascii="宋体" w:hAnsi="宋体" w:cs="FZSSK--GBK1-0"/>
          <w:kern w:val="0"/>
          <w:sz w:val="24"/>
        </w:rPr>
        <w:t>已取得电大毕业证书的学生</w:t>
      </w:r>
      <w:r>
        <w:rPr>
          <w:rFonts w:hint="eastAsia" w:ascii="宋体" w:hAnsi="宋体" w:cs="E-BZ"/>
          <w:kern w:val="0"/>
          <w:sz w:val="24"/>
        </w:rPr>
        <w:t>，</w:t>
      </w:r>
      <w:r>
        <w:rPr>
          <w:rFonts w:hint="eastAsia" w:ascii="宋体" w:hAnsi="宋体" w:cs="FZSSK--GBK1-0"/>
          <w:kern w:val="0"/>
          <w:sz w:val="24"/>
        </w:rPr>
        <w:t>若再次注册学习国家开放大学相关专业</w:t>
      </w:r>
      <w:r>
        <w:rPr>
          <w:rFonts w:hint="eastAsia" w:ascii="宋体" w:hAnsi="宋体" w:cs="E-BZ"/>
          <w:kern w:val="0"/>
          <w:sz w:val="24"/>
        </w:rPr>
        <w:t>，</w:t>
      </w:r>
      <w:r>
        <w:rPr>
          <w:rFonts w:hint="eastAsia" w:ascii="宋体" w:hAnsi="宋体" w:cs="FZSSK--GBK1-0"/>
          <w:kern w:val="0"/>
          <w:sz w:val="24"/>
        </w:rPr>
        <w:t>原修专业已注册过的通识课程</w:t>
      </w:r>
      <w:r>
        <w:rPr>
          <w:rFonts w:hint="eastAsia" w:ascii="宋体" w:hAnsi="宋体" w:cs="E-BZ"/>
          <w:kern w:val="0"/>
          <w:sz w:val="24"/>
        </w:rPr>
        <w:t>，</w:t>
      </w:r>
      <w:r>
        <w:rPr>
          <w:rFonts w:hint="eastAsia" w:ascii="宋体" w:hAnsi="宋体" w:cs="FZSSK--GBK1-0"/>
          <w:kern w:val="0"/>
          <w:sz w:val="24"/>
        </w:rPr>
        <w:t>在新修专业中不得再次注册学习</w:t>
      </w:r>
      <w:r>
        <w:rPr>
          <w:rFonts w:hint="eastAsia" w:ascii="宋体" w:hAnsi="宋体" w:cs="E-BZ"/>
          <w:kern w:val="0"/>
          <w:sz w:val="24"/>
        </w:rPr>
        <w:t>(</w:t>
      </w:r>
      <w:r>
        <w:rPr>
          <w:rFonts w:hint="eastAsia" w:ascii="宋体" w:hAnsi="宋体" w:cs="FZSSK--GBK1-0"/>
          <w:kern w:val="0"/>
          <w:sz w:val="24"/>
        </w:rPr>
        <w:t>在教务管理系统中此类课程将不能实现注册</w:t>
      </w:r>
      <w:r>
        <w:rPr>
          <w:rFonts w:hint="eastAsia" w:ascii="宋体" w:hAnsi="宋体" w:cs="E-BZ"/>
          <w:kern w:val="0"/>
          <w:sz w:val="24"/>
        </w:rPr>
        <w:t>)</w:t>
      </w:r>
      <w:r>
        <w:rPr>
          <w:rFonts w:hint="eastAsia" w:ascii="宋体" w:hAnsi="宋体" w:cs="FZSSK--GBK1-0"/>
          <w:kern w:val="0"/>
          <w:sz w:val="24"/>
        </w:rPr>
        <w:t>和申请办理课程免修免考</w:t>
      </w:r>
      <w:r>
        <w:rPr>
          <w:rFonts w:hint="eastAsia" w:ascii="宋体" w:hAnsi="宋体" w:cs="E-BZ"/>
          <w:kern w:val="0"/>
          <w:sz w:val="24"/>
        </w:rPr>
        <w:t>，</w:t>
      </w:r>
      <w:r>
        <w:rPr>
          <w:rFonts w:hint="eastAsia" w:ascii="宋体" w:hAnsi="宋体" w:cs="FZSSK--GBK1-0"/>
          <w:kern w:val="0"/>
          <w:sz w:val="24"/>
        </w:rPr>
        <w:t>此模块的毕业最低学分通过修读本模块的其他通识课程获得</w:t>
      </w:r>
      <w:r>
        <w:rPr>
          <w:rFonts w:hint="eastAsia" w:ascii="宋体" w:hAnsi="宋体" w:cs="E-BZ"/>
          <w:kern w:val="0"/>
          <w:sz w:val="24"/>
        </w:rPr>
        <w:t>。</w:t>
      </w:r>
    </w:p>
    <w:p>
      <w:pPr>
        <w:autoSpaceDE w:val="0"/>
        <w:autoSpaceDN w:val="0"/>
        <w:adjustRightInd w:val="0"/>
        <w:spacing w:line="360" w:lineRule="auto"/>
        <w:ind w:firstLine="480" w:firstLineChars="200"/>
        <w:jc w:val="left"/>
        <w:rPr>
          <w:rFonts w:ascii="宋体" w:hAnsi="宋体" w:cs="FZSSK--GBK1-0"/>
          <w:kern w:val="0"/>
          <w:sz w:val="24"/>
        </w:rPr>
      </w:pPr>
      <w:r>
        <w:rPr>
          <w:rFonts w:hint="eastAsia" w:ascii="宋体" w:hAnsi="宋体" w:cs="E-BZ"/>
          <w:kern w:val="0"/>
          <w:sz w:val="24"/>
        </w:rPr>
        <w:t>5、</w:t>
      </w:r>
      <w:r>
        <w:rPr>
          <w:rFonts w:hint="eastAsia" w:ascii="宋体" w:hAnsi="宋体" w:cs="FZSSK--GBK1-0"/>
          <w:kern w:val="0"/>
          <w:sz w:val="24"/>
        </w:rPr>
        <w:t>专业拓展课</w:t>
      </w:r>
    </w:p>
    <w:p>
      <w:pPr>
        <w:autoSpaceDE w:val="0"/>
        <w:autoSpaceDN w:val="0"/>
        <w:adjustRightInd w:val="0"/>
        <w:spacing w:line="360" w:lineRule="auto"/>
        <w:ind w:firstLine="480" w:firstLineChars="200"/>
        <w:jc w:val="left"/>
        <w:rPr>
          <w:rFonts w:ascii="宋体" w:hAnsi="宋体" w:cs="E-BZ"/>
          <w:kern w:val="0"/>
          <w:sz w:val="24"/>
        </w:rPr>
      </w:pPr>
      <w:r>
        <w:rPr>
          <w:rFonts w:hint="eastAsia" w:ascii="宋体" w:hAnsi="宋体" w:cs="FZSSK--GBK1-0"/>
          <w:kern w:val="0"/>
          <w:sz w:val="24"/>
        </w:rPr>
        <w:t>该模块国家开放大学考试最低学分为</w:t>
      </w:r>
      <w:r>
        <w:rPr>
          <w:rFonts w:hint="eastAsia" w:ascii="宋体" w:hAnsi="宋体" w:cs="E-BZ"/>
          <w:kern w:val="0"/>
          <w:sz w:val="24"/>
        </w:rPr>
        <w:t>0</w:t>
      </w:r>
      <w:r>
        <w:rPr>
          <w:rFonts w:hint="eastAsia" w:ascii="宋体" w:hAnsi="宋体" w:cs="FZSSK--GBK1-0"/>
          <w:kern w:val="0"/>
          <w:sz w:val="24"/>
        </w:rPr>
        <w:t>学分</w:t>
      </w:r>
      <w:r>
        <w:rPr>
          <w:rFonts w:hint="eastAsia" w:ascii="宋体" w:hAnsi="宋体" w:cs="E-BZ"/>
          <w:kern w:val="0"/>
          <w:sz w:val="24"/>
        </w:rPr>
        <w:t xml:space="preserve">, </w:t>
      </w:r>
      <w:r>
        <w:rPr>
          <w:rFonts w:hint="eastAsia" w:ascii="宋体" w:hAnsi="宋体" w:cs="FZSSK--GBK1-0"/>
          <w:kern w:val="0"/>
          <w:sz w:val="24"/>
        </w:rPr>
        <w:t>模块设置最低学分为</w:t>
      </w:r>
      <w:r>
        <w:rPr>
          <w:rFonts w:hint="eastAsia" w:ascii="宋体" w:hAnsi="宋体" w:cs="E-BZ"/>
          <w:kern w:val="0"/>
          <w:sz w:val="24"/>
          <w:lang w:val="en-US" w:eastAsia="zh-CN"/>
        </w:rPr>
        <w:t>12</w:t>
      </w:r>
      <w:r>
        <w:rPr>
          <w:rFonts w:hint="eastAsia" w:ascii="宋体" w:hAnsi="宋体" w:cs="FZSSK--GBK1-0"/>
          <w:kern w:val="0"/>
          <w:sz w:val="24"/>
        </w:rPr>
        <w:t>学分</w:t>
      </w:r>
      <w:r>
        <w:rPr>
          <w:rFonts w:hint="eastAsia" w:ascii="宋体" w:hAnsi="宋体" w:cs="FZSSK--GBK1-0"/>
          <w:kern w:val="0"/>
          <w:sz w:val="24"/>
          <w:lang w:eastAsia="zh-CN"/>
        </w:rPr>
        <w:t>，模块毕业最低学分</w:t>
      </w:r>
      <w:r>
        <w:rPr>
          <w:rFonts w:hint="eastAsia" w:ascii="宋体" w:hAnsi="宋体" w:cs="FZSSK--GBK1-0"/>
          <w:kern w:val="0"/>
          <w:sz w:val="24"/>
          <w:lang w:val="en-US" w:eastAsia="zh-CN"/>
        </w:rPr>
        <w:t>12</w:t>
      </w:r>
      <w:r>
        <w:rPr>
          <w:rFonts w:hint="eastAsia" w:ascii="宋体" w:hAnsi="宋体" w:cs="FZSSK--GBK1-0"/>
          <w:kern w:val="0"/>
          <w:sz w:val="24"/>
          <w:lang w:eastAsia="zh-CN"/>
        </w:rPr>
        <w:t>学分</w:t>
      </w:r>
      <w:r>
        <w:rPr>
          <w:rFonts w:hint="eastAsia" w:ascii="宋体" w:hAnsi="宋体" w:cs="E-BZ"/>
          <w:kern w:val="0"/>
          <w:sz w:val="24"/>
        </w:rPr>
        <w:t>。</w:t>
      </w:r>
    </w:p>
    <w:p>
      <w:pPr>
        <w:autoSpaceDE w:val="0"/>
        <w:autoSpaceDN w:val="0"/>
        <w:adjustRightInd w:val="0"/>
        <w:spacing w:line="360" w:lineRule="auto"/>
        <w:ind w:firstLine="480" w:firstLineChars="200"/>
        <w:jc w:val="left"/>
        <w:rPr>
          <w:rFonts w:hint="eastAsia" w:ascii="宋体" w:hAnsi="宋体" w:cs="FZSSK--GBK1-0"/>
          <w:kern w:val="0"/>
          <w:sz w:val="24"/>
          <w:lang w:eastAsia="zh-CN"/>
        </w:rPr>
      </w:pPr>
      <w:r>
        <w:rPr>
          <w:rFonts w:hint="eastAsia" w:ascii="宋体" w:hAnsi="宋体" w:cs="FZSSK--GBK1-0"/>
          <w:kern w:val="0"/>
          <w:sz w:val="24"/>
          <w:lang w:eastAsia="zh-CN"/>
        </w:rPr>
        <w:t>（</w:t>
      </w:r>
      <w:r>
        <w:rPr>
          <w:rFonts w:hint="eastAsia" w:ascii="宋体" w:hAnsi="宋体" w:cs="FZSSK--GBK1-0"/>
          <w:kern w:val="0"/>
          <w:sz w:val="24"/>
          <w:lang w:val="en-US" w:eastAsia="zh-CN"/>
        </w:rPr>
        <w:t>1</w:t>
      </w:r>
      <w:r>
        <w:rPr>
          <w:rFonts w:hint="eastAsia" w:ascii="宋体" w:hAnsi="宋体" w:cs="FZSSK--GBK1-0"/>
          <w:kern w:val="0"/>
          <w:sz w:val="24"/>
          <w:lang w:eastAsia="zh-CN"/>
        </w:rPr>
        <w:t>）统设选修课：电子商务概论、企业信息管理、资源与运营管理、个人与团队管理。</w:t>
      </w:r>
    </w:p>
    <w:p>
      <w:pPr>
        <w:autoSpaceDE w:val="0"/>
        <w:autoSpaceDN w:val="0"/>
        <w:adjustRightInd w:val="0"/>
        <w:spacing w:line="360" w:lineRule="auto"/>
        <w:ind w:firstLine="480" w:firstLineChars="200"/>
        <w:jc w:val="left"/>
        <w:rPr>
          <w:rFonts w:ascii="宋体" w:hAnsi="宋体" w:cs="FZSSK--GBK1-0"/>
          <w:kern w:val="0"/>
          <w:sz w:val="24"/>
        </w:rPr>
      </w:pPr>
      <w:r>
        <w:rPr>
          <w:rFonts w:hint="eastAsia" w:ascii="宋体" w:hAnsi="宋体" w:cs="FZSSK--GBK1-0"/>
          <w:kern w:val="0"/>
          <w:sz w:val="24"/>
          <w:lang w:eastAsia="zh-CN"/>
        </w:rPr>
        <w:t>（</w:t>
      </w:r>
      <w:r>
        <w:rPr>
          <w:rFonts w:hint="eastAsia" w:ascii="宋体" w:hAnsi="宋体" w:cs="FZSSK--GBK1-0"/>
          <w:kern w:val="0"/>
          <w:sz w:val="24"/>
          <w:lang w:val="en-US" w:eastAsia="zh-CN"/>
        </w:rPr>
        <w:t>2</w:t>
      </w:r>
      <w:r>
        <w:rPr>
          <w:rFonts w:hint="eastAsia" w:ascii="宋体" w:hAnsi="宋体" w:cs="FZSSK--GBK1-0"/>
          <w:kern w:val="0"/>
          <w:sz w:val="24"/>
          <w:lang w:eastAsia="zh-CN"/>
        </w:rPr>
        <w:t>）非统设</w:t>
      </w:r>
      <w:r>
        <w:rPr>
          <w:rFonts w:hint="eastAsia" w:ascii="宋体" w:hAnsi="宋体" w:cs="FZSSK--GBK1-0"/>
          <w:kern w:val="0"/>
          <w:sz w:val="24"/>
        </w:rPr>
        <w:t>选修课</w:t>
      </w:r>
      <w:r>
        <w:rPr>
          <w:rFonts w:hint="eastAsia" w:ascii="宋体" w:hAnsi="宋体" w:cs="E-BZ"/>
          <w:kern w:val="0"/>
          <w:sz w:val="24"/>
        </w:rPr>
        <w:t xml:space="preserve">: </w:t>
      </w:r>
      <w:r>
        <w:rPr>
          <w:rFonts w:hint="eastAsia" w:ascii="宋体" w:hAnsi="宋体" w:cs="FZSSK--GBK1-0"/>
          <w:kern w:val="0"/>
          <w:sz w:val="24"/>
        </w:rPr>
        <w:t>员工关系管理</w:t>
      </w:r>
      <w:r>
        <w:rPr>
          <w:rFonts w:hint="eastAsia" w:ascii="宋体" w:hAnsi="宋体" w:cs="FZSSK--GBK1-0"/>
          <w:kern w:val="0"/>
          <w:sz w:val="24"/>
          <w:lang w:eastAsia="zh-CN"/>
        </w:rPr>
        <w:t>、先进制造系统</w:t>
      </w:r>
      <w:r>
        <w:rPr>
          <w:rFonts w:hint="eastAsia" w:ascii="宋体" w:hAnsi="宋体" w:cs="FZSSK--GBK1-0"/>
          <w:kern w:val="0"/>
          <w:sz w:val="24"/>
        </w:rPr>
        <w:t>。</w:t>
      </w:r>
    </w:p>
    <w:p>
      <w:pPr>
        <w:autoSpaceDE w:val="0"/>
        <w:autoSpaceDN w:val="0"/>
        <w:adjustRightInd w:val="0"/>
        <w:spacing w:line="360" w:lineRule="auto"/>
        <w:ind w:firstLine="480" w:firstLineChars="200"/>
        <w:jc w:val="left"/>
        <w:rPr>
          <w:rFonts w:ascii="宋体" w:hAnsi="宋体" w:cs="E-BZ"/>
          <w:kern w:val="0"/>
          <w:sz w:val="24"/>
        </w:rPr>
      </w:pPr>
      <w:r>
        <w:rPr>
          <w:rFonts w:hint="eastAsia" w:ascii="宋体" w:hAnsi="宋体" w:cs="E-BZ"/>
          <w:kern w:val="0"/>
          <w:sz w:val="24"/>
        </w:rPr>
        <w:t>6、</w:t>
      </w:r>
      <w:r>
        <w:rPr>
          <w:rFonts w:hint="eastAsia" w:ascii="宋体" w:hAnsi="宋体" w:cs="FZSSK--GBK1-0"/>
          <w:kern w:val="0"/>
          <w:sz w:val="24"/>
        </w:rPr>
        <w:t>本专业综合实践包括毕业设计（毕业作业）</w:t>
      </w:r>
      <w:r>
        <w:rPr>
          <w:rFonts w:hint="eastAsia" w:ascii="宋体" w:hAnsi="宋体" w:cs="FZSSK--GBK1-0"/>
          <w:kern w:val="0"/>
          <w:sz w:val="24"/>
          <w:lang w:eastAsia="zh-CN"/>
        </w:rPr>
        <w:t>、</w:t>
      </w:r>
      <w:r>
        <w:rPr>
          <w:rFonts w:hint="eastAsia" w:ascii="宋体" w:hAnsi="宋体" w:cs="FZSSK--GBK1-0"/>
          <w:kern w:val="0"/>
          <w:sz w:val="24"/>
        </w:rPr>
        <w:t>社会实践（实践报告）</w:t>
      </w:r>
      <w:r>
        <w:rPr>
          <w:rFonts w:hint="eastAsia" w:ascii="宋体" w:hAnsi="宋体" w:cs="E-BZ"/>
          <w:kern w:val="0"/>
          <w:sz w:val="24"/>
          <w:lang w:eastAsia="zh-CN"/>
        </w:rPr>
        <w:t>两门统设必修课，</w:t>
      </w:r>
      <w:r>
        <w:rPr>
          <w:rFonts w:hint="eastAsia" w:ascii="宋体" w:hAnsi="宋体" w:cs="FZSSK--GBK1-0"/>
          <w:kern w:val="0"/>
          <w:sz w:val="24"/>
        </w:rPr>
        <w:t>模块设置最低学分为</w:t>
      </w:r>
      <w:r>
        <w:rPr>
          <w:rFonts w:hint="eastAsia" w:ascii="宋体" w:hAnsi="宋体" w:cs="E-BZ"/>
          <w:kern w:val="0"/>
          <w:sz w:val="24"/>
          <w:lang w:val="en-US" w:eastAsia="zh-CN"/>
        </w:rPr>
        <w:t>8</w:t>
      </w:r>
      <w:r>
        <w:rPr>
          <w:rFonts w:hint="eastAsia" w:ascii="宋体" w:hAnsi="宋体" w:cs="FZSSK--GBK1-0"/>
          <w:kern w:val="0"/>
          <w:sz w:val="24"/>
        </w:rPr>
        <w:t>学分</w:t>
      </w:r>
      <w:r>
        <w:rPr>
          <w:rFonts w:hint="eastAsia" w:ascii="宋体" w:hAnsi="宋体" w:cs="FZSSK--GBK1-0"/>
          <w:kern w:val="0"/>
          <w:sz w:val="24"/>
          <w:lang w:eastAsia="zh-CN"/>
        </w:rPr>
        <w:t>，模块毕业最低学分</w:t>
      </w:r>
      <w:r>
        <w:rPr>
          <w:rFonts w:hint="eastAsia" w:ascii="宋体" w:hAnsi="宋体" w:cs="FZSSK--GBK1-0"/>
          <w:kern w:val="0"/>
          <w:sz w:val="24"/>
          <w:lang w:val="en-US" w:eastAsia="zh-CN"/>
        </w:rPr>
        <w:t>8</w:t>
      </w:r>
      <w:r>
        <w:rPr>
          <w:rFonts w:hint="eastAsia" w:ascii="宋体" w:hAnsi="宋体" w:cs="FZSSK--GBK1-0"/>
          <w:kern w:val="0"/>
          <w:sz w:val="24"/>
          <w:lang w:eastAsia="zh-CN"/>
        </w:rPr>
        <w:t>学分</w:t>
      </w:r>
      <w:r>
        <w:rPr>
          <w:rFonts w:hint="eastAsia" w:ascii="宋体" w:hAnsi="宋体" w:cs="E-BZ"/>
          <w:kern w:val="0"/>
          <w:sz w:val="24"/>
        </w:rPr>
        <w:t>，</w:t>
      </w:r>
      <w:r>
        <w:rPr>
          <w:rFonts w:hint="eastAsia" w:ascii="宋体" w:hAnsi="宋体" w:cs="FZSSK--GBK1-0"/>
          <w:kern w:val="0"/>
          <w:sz w:val="24"/>
        </w:rPr>
        <w:t>由分部根据国家开放大学制定的实践环节教学大纲组织实施</w:t>
      </w:r>
      <w:r>
        <w:rPr>
          <w:rFonts w:hint="eastAsia" w:ascii="宋体" w:hAnsi="宋体" w:cs="E-BZ"/>
          <w:kern w:val="0"/>
          <w:sz w:val="24"/>
        </w:rPr>
        <w:t>。</w:t>
      </w:r>
      <w:r>
        <w:rPr>
          <w:rFonts w:hint="eastAsia" w:ascii="宋体" w:hAnsi="宋体" w:cs="FZSSK--GBK1-0"/>
          <w:kern w:val="0"/>
          <w:sz w:val="24"/>
        </w:rPr>
        <w:t>该环节不得免修</w:t>
      </w:r>
      <w:r>
        <w:rPr>
          <w:rFonts w:hint="eastAsia" w:ascii="宋体" w:hAnsi="宋体" w:cs="E-BZ"/>
          <w:kern w:val="0"/>
          <w:sz w:val="24"/>
        </w:rPr>
        <w:t>。</w:t>
      </w:r>
    </w:p>
    <w:p>
      <w:pPr>
        <w:autoSpaceDE w:val="0"/>
        <w:autoSpaceDN w:val="0"/>
        <w:adjustRightInd w:val="0"/>
        <w:spacing w:line="360" w:lineRule="auto"/>
        <w:ind w:firstLine="480" w:firstLineChars="200"/>
        <w:jc w:val="left"/>
        <w:rPr>
          <w:rFonts w:ascii="宋体" w:hAnsi="宋体" w:cs="E-BZ"/>
          <w:kern w:val="0"/>
          <w:sz w:val="24"/>
        </w:rPr>
      </w:pPr>
      <w:r>
        <w:rPr>
          <w:rFonts w:hint="eastAsia" w:ascii="宋体" w:hAnsi="宋体" w:cs="E-BZ"/>
          <w:kern w:val="0"/>
          <w:sz w:val="24"/>
        </w:rPr>
        <w:t>7、</w:t>
      </w:r>
      <w:r>
        <w:rPr>
          <w:rFonts w:hint="eastAsia" w:ascii="宋体" w:hAnsi="宋体" w:cs="FZSSK--GBK1-0"/>
          <w:kern w:val="0"/>
          <w:sz w:val="24"/>
        </w:rPr>
        <w:t>统设必修课严格执行统一课程名称</w:t>
      </w:r>
      <w:r>
        <w:rPr>
          <w:rFonts w:hint="eastAsia" w:ascii="宋体" w:hAnsi="宋体" w:cs="E-BZ"/>
          <w:kern w:val="0"/>
          <w:sz w:val="24"/>
        </w:rPr>
        <w:t>、</w:t>
      </w:r>
      <w:r>
        <w:rPr>
          <w:rFonts w:hint="eastAsia" w:ascii="宋体" w:hAnsi="宋体" w:cs="FZSSK--GBK1-0"/>
          <w:kern w:val="0"/>
          <w:sz w:val="24"/>
        </w:rPr>
        <w:t>统一课程学分标准</w:t>
      </w:r>
      <w:r>
        <w:rPr>
          <w:rFonts w:hint="eastAsia" w:ascii="宋体" w:hAnsi="宋体" w:cs="E-BZ"/>
          <w:kern w:val="0"/>
          <w:sz w:val="24"/>
        </w:rPr>
        <w:t>、</w:t>
      </w:r>
      <w:r>
        <w:rPr>
          <w:rFonts w:hint="eastAsia" w:ascii="宋体" w:hAnsi="宋体" w:cs="FZSSK--GBK1-0"/>
          <w:kern w:val="0"/>
          <w:sz w:val="24"/>
        </w:rPr>
        <w:t>统一教学大纲</w:t>
      </w:r>
      <w:r>
        <w:rPr>
          <w:rFonts w:hint="eastAsia" w:ascii="宋体" w:hAnsi="宋体" w:cs="E-BZ"/>
          <w:kern w:val="0"/>
          <w:sz w:val="24"/>
        </w:rPr>
        <w:t>、</w:t>
      </w:r>
    </w:p>
    <w:p>
      <w:pPr>
        <w:autoSpaceDE w:val="0"/>
        <w:autoSpaceDN w:val="0"/>
        <w:adjustRightInd w:val="0"/>
        <w:spacing w:line="360" w:lineRule="auto"/>
        <w:jc w:val="left"/>
        <w:rPr>
          <w:rFonts w:ascii="宋体" w:hAnsi="宋体" w:cs="E-BZ"/>
          <w:kern w:val="0"/>
          <w:sz w:val="24"/>
        </w:rPr>
      </w:pPr>
      <w:r>
        <w:rPr>
          <w:rFonts w:hint="eastAsia" w:ascii="宋体" w:hAnsi="宋体" w:cs="FZSSK--GBK1-0"/>
          <w:kern w:val="0"/>
          <w:sz w:val="24"/>
        </w:rPr>
        <w:t>统一教材</w:t>
      </w:r>
      <w:r>
        <w:rPr>
          <w:rFonts w:hint="eastAsia" w:ascii="宋体" w:hAnsi="宋体" w:cs="E-BZ"/>
          <w:kern w:val="0"/>
          <w:sz w:val="24"/>
        </w:rPr>
        <w:t>。</w:t>
      </w:r>
    </w:p>
    <w:p>
      <w:pPr>
        <w:autoSpaceDE w:val="0"/>
        <w:autoSpaceDN w:val="0"/>
        <w:adjustRightInd w:val="0"/>
        <w:spacing w:line="360" w:lineRule="auto"/>
        <w:ind w:firstLine="480" w:firstLineChars="200"/>
        <w:jc w:val="left"/>
        <w:rPr>
          <w:rFonts w:ascii="宋体" w:hAnsi="宋体" w:cs="FZSSK--GBK1-0"/>
          <w:kern w:val="0"/>
          <w:sz w:val="24"/>
        </w:rPr>
      </w:pPr>
      <w:r>
        <w:rPr>
          <w:rFonts w:hint="eastAsia" w:ascii="宋体" w:hAnsi="宋体" w:cs="E-BZ"/>
          <w:kern w:val="0"/>
          <w:sz w:val="24"/>
        </w:rPr>
        <w:t>8、</w:t>
      </w:r>
      <w:r>
        <w:rPr>
          <w:rFonts w:hint="eastAsia" w:ascii="宋体" w:hAnsi="宋体" w:cs="FZSSK--GBK1-0"/>
          <w:kern w:val="0"/>
          <w:sz w:val="24"/>
        </w:rPr>
        <w:t>课程实践环节成绩计入课程学习成绩</w:t>
      </w:r>
      <w:r>
        <w:rPr>
          <w:rFonts w:hint="eastAsia" w:ascii="宋体" w:hAnsi="宋体" w:cs="E-BZ"/>
          <w:kern w:val="0"/>
          <w:sz w:val="24"/>
        </w:rPr>
        <w:t>，</w:t>
      </w:r>
      <w:r>
        <w:rPr>
          <w:rFonts w:hint="eastAsia" w:ascii="宋体" w:hAnsi="宋体" w:cs="FZSSK--GBK1-0"/>
          <w:kern w:val="0"/>
          <w:sz w:val="24"/>
        </w:rPr>
        <w:t>没有完成课程实践环节的不能取</w:t>
      </w:r>
    </w:p>
    <w:p>
      <w:pPr>
        <w:autoSpaceDE w:val="0"/>
        <w:autoSpaceDN w:val="0"/>
        <w:adjustRightInd w:val="0"/>
        <w:spacing w:line="360" w:lineRule="auto"/>
        <w:jc w:val="left"/>
        <w:rPr>
          <w:rFonts w:ascii="宋体" w:hAnsi="宋体" w:cs="E-BZ"/>
          <w:kern w:val="0"/>
          <w:sz w:val="24"/>
        </w:rPr>
      </w:pPr>
      <w:r>
        <w:rPr>
          <w:rFonts w:hint="eastAsia" w:ascii="宋体" w:hAnsi="宋体" w:cs="FZSSK--GBK1-0"/>
          <w:kern w:val="0"/>
          <w:sz w:val="24"/>
        </w:rPr>
        <w:t>得课程学分</w:t>
      </w:r>
      <w:r>
        <w:rPr>
          <w:rFonts w:hint="eastAsia" w:ascii="宋体" w:hAnsi="宋体" w:cs="E-BZ"/>
          <w:kern w:val="0"/>
          <w:sz w:val="24"/>
        </w:rPr>
        <w:t>。</w:t>
      </w:r>
    </w:p>
    <w:p>
      <w:pPr>
        <w:autoSpaceDE w:val="0"/>
        <w:autoSpaceDN w:val="0"/>
        <w:adjustRightInd w:val="0"/>
        <w:spacing w:line="360" w:lineRule="auto"/>
        <w:ind w:firstLine="480" w:firstLineChars="200"/>
        <w:jc w:val="left"/>
        <w:rPr>
          <w:rFonts w:ascii="宋体" w:hAnsi="宋体" w:cs="FZSSK--GBK1-0"/>
          <w:kern w:val="0"/>
          <w:sz w:val="24"/>
        </w:rPr>
      </w:pPr>
      <w:r>
        <w:rPr>
          <w:rFonts w:hint="eastAsia" w:ascii="宋体" w:hAnsi="宋体" w:cs="E-BZ"/>
          <w:kern w:val="0"/>
          <w:sz w:val="24"/>
        </w:rPr>
        <w:t>9、</w:t>
      </w:r>
      <w:r>
        <w:rPr>
          <w:rFonts w:hint="eastAsia" w:ascii="宋体" w:hAnsi="宋体" w:cs="FZSSK--GBK1-0"/>
          <w:kern w:val="0"/>
          <w:sz w:val="24"/>
        </w:rPr>
        <w:t>专业规则表中各课程开设学期是根据专业知识结构提供的课程先修</w:t>
      </w:r>
      <w:r>
        <w:rPr>
          <w:rFonts w:hint="eastAsia" w:ascii="宋体" w:hAnsi="宋体" w:cs="E-BZ"/>
          <w:kern w:val="0"/>
          <w:sz w:val="24"/>
        </w:rPr>
        <w:t>、</w:t>
      </w:r>
      <w:r>
        <w:rPr>
          <w:rFonts w:hint="eastAsia" w:ascii="宋体" w:hAnsi="宋体" w:cs="FZSSK--GBK1-0"/>
          <w:kern w:val="0"/>
          <w:sz w:val="24"/>
        </w:rPr>
        <w:t>后</w:t>
      </w:r>
    </w:p>
    <w:p>
      <w:pPr>
        <w:autoSpaceDE w:val="0"/>
        <w:autoSpaceDN w:val="0"/>
        <w:adjustRightInd w:val="0"/>
        <w:spacing w:line="360" w:lineRule="auto"/>
        <w:jc w:val="left"/>
        <w:rPr>
          <w:rFonts w:ascii="宋体" w:hAnsi="宋体" w:cs="FZSSK--GBK1-0"/>
          <w:kern w:val="0"/>
          <w:sz w:val="24"/>
        </w:rPr>
      </w:pPr>
      <w:r>
        <w:rPr>
          <w:rFonts w:hint="eastAsia" w:ascii="宋体" w:hAnsi="宋体" w:cs="FZSSK--GBK1-0"/>
          <w:kern w:val="0"/>
          <w:sz w:val="24"/>
        </w:rPr>
        <w:t>续关系确定的</w:t>
      </w:r>
      <w:r>
        <w:rPr>
          <w:rFonts w:hint="eastAsia" w:ascii="宋体" w:hAnsi="宋体" w:cs="E-BZ"/>
          <w:kern w:val="0"/>
          <w:sz w:val="24"/>
        </w:rPr>
        <w:t>，</w:t>
      </w:r>
      <w:r>
        <w:rPr>
          <w:rFonts w:hint="eastAsia" w:ascii="宋体" w:hAnsi="宋体" w:cs="FZSSK--GBK1-0"/>
          <w:kern w:val="0"/>
          <w:sz w:val="24"/>
        </w:rPr>
        <w:t>供学生选课时参考</w:t>
      </w:r>
      <w:r>
        <w:rPr>
          <w:rFonts w:hint="eastAsia" w:ascii="宋体" w:hAnsi="宋体" w:cs="E-BZ"/>
          <w:kern w:val="0"/>
          <w:sz w:val="24"/>
        </w:rPr>
        <w:t>。</w:t>
      </w:r>
      <w:r>
        <w:rPr>
          <w:rFonts w:hint="eastAsia" w:ascii="宋体" w:hAnsi="宋体" w:cs="FZSSK--GBK1-0"/>
          <w:kern w:val="0"/>
          <w:sz w:val="24"/>
        </w:rPr>
        <w:t>各专业所有统设必修课首次开设后均实行全</w:t>
      </w:r>
    </w:p>
    <w:p>
      <w:pPr>
        <w:autoSpaceDE w:val="0"/>
        <w:autoSpaceDN w:val="0"/>
        <w:adjustRightInd w:val="0"/>
        <w:spacing w:line="360" w:lineRule="auto"/>
        <w:jc w:val="left"/>
        <w:rPr>
          <w:rFonts w:ascii="宋体" w:hAnsi="宋体" w:cs="E-BZ"/>
          <w:kern w:val="0"/>
          <w:sz w:val="24"/>
        </w:rPr>
      </w:pPr>
      <w:r>
        <w:rPr>
          <w:rFonts w:hint="eastAsia" w:ascii="宋体" w:hAnsi="宋体" w:cs="FZSSK--GBK1-0"/>
          <w:kern w:val="0"/>
          <w:sz w:val="24"/>
        </w:rPr>
        <w:t>年滚动开设</w:t>
      </w:r>
      <w:r>
        <w:rPr>
          <w:rFonts w:hint="eastAsia" w:ascii="宋体" w:hAnsi="宋体" w:cs="E-BZ"/>
          <w:kern w:val="0"/>
          <w:sz w:val="24"/>
        </w:rPr>
        <w:t>。</w:t>
      </w:r>
    </w:p>
    <w:p>
      <w:pPr>
        <w:autoSpaceDE w:val="0"/>
        <w:autoSpaceDN w:val="0"/>
        <w:adjustRightInd w:val="0"/>
        <w:spacing w:line="360" w:lineRule="auto"/>
        <w:ind w:firstLine="562" w:firstLineChars="200"/>
        <w:jc w:val="left"/>
        <w:rPr>
          <w:rFonts w:ascii="宋体" w:hAnsi="宋体" w:cs="FZY3K--GBK1-0"/>
          <w:b/>
          <w:kern w:val="0"/>
          <w:sz w:val="28"/>
          <w:szCs w:val="28"/>
        </w:rPr>
      </w:pPr>
      <w:r>
        <w:rPr>
          <w:rFonts w:hint="eastAsia" w:ascii="宋体" w:hAnsi="宋体" w:cs="FZY3K--GBK1-0"/>
          <w:b/>
          <w:kern w:val="0"/>
          <w:sz w:val="28"/>
          <w:szCs w:val="28"/>
        </w:rPr>
        <w:t>四</w:t>
      </w:r>
      <w:r>
        <w:rPr>
          <w:rFonts w:hint="eastAsia" w:ascii="宋体" w:hAnsi="宋体" w:cs="E-YT1"/>
          <w:b/>
          <w:kern w:val="0"/>
          <w:sz w:val="28"/>
          <w:szCs w:val="28"/>
        </w:rPr>
        <w:t>、</w:t>
      </w:r>
      <w:r>
        <w:rPr>
          <w:rFonts w:hint="eastAsia" w:ascii="宋体" w:hAnsi="宋体" w:cs="FZY3K--GBK1-0"/>
          <w:b/>
          <w:kern w:val="0"/>
          <w:sz w:val="28"/>
          <w:szCs w:val="28"/>
        </w:rPr>
        <w:t>毕业规则</w:t>
      </w:r>
    </w:p>
    <w:p>
      <w:pPr>
        <w:autoSpaceDE w:val="0"/>
        <w:autoSpaceDN w:val="0"/>
        <w:adjustRightInd w:val="0"/>
        <w:spacing w:line="360" w:lineRule="auto"/>
        <w:ind w:firstLine="480" w:firstLineChars="200"/>
        <w:jc w:val="left"/>
        <w:rPr>
          <w:rFonts w:hint="eastAsia" w:ascii="宋体" w:hAnsi="宋体" w:cs="E-BZ"/>
          <w:kern w:val="0"/>
          <w:sz w:val="24"/>
        </w:rPr>
      </w:pPr>
      <w:r>
        <w:rPr>
          <w:rFonts w:hint="eastAsia" w:ascii="宋体" w:hAnsi="宋体" w:cs="FZSSK--GBK1-0"/>
          <w:kern w:val="0"/>
          <w:sz w:val="24"/>
        </w:rPr>
        <w:t>本专业各模块毕业最低学分依次是</w:t>
      </w:r>
      <w:r>
        <w:rPr>
          <w:rFonts w:hint="eastAsia" w:ascii="宋体" w:hAnsi="宋体" w:cs="E-BZ"/>
          <w:kern w:val="0"/>
          <w:sz w:val="24"/>
        </w:rPr>
        <w:t xml:space="preserve">: </w:t>
      </w:r>
    </w:p>
    <w:p>
      <w:pPr>
        <w:autoSpaceDE w:val="0"/>
        <w:autoSpaceDN w:val="0"/>
        <w:adjustRightInd w:val="0"/>
        <w:spacing w:line="360" w:lineRule="auto"/>
        <w:ind w:firstLine="480" w:firstLineChars="200"/>
        <w:jc w:val="left"/>
        <w:rPr>
          <w:rFonts w:hint="eastAsia" w:ascii="宋体" w:hAnsi="宋体" w:cs="E-BZ"/>
          <w:kern w:val="0"/>
          <w:sz w:val="24"/>
        </w:rPr>
      </w:pPr>
      <w:r>
        <w:rPr>
          <w:rFonts w:hint="eastAsia" w:ascii="宋体" w:hAnsi="宋体" w:cs="FZSSK--GBK1-0"/>
          <w:kern w:val="0"/>
          <w:sz w:val="24"/>
        </w:rPr>
        <w:t>公共基础课</w:t>
      </w:r>
      <w:r>
        <w:rPr>
          <w:rFonts w:hint="eastAsia" w:ascii="宋体" w:hAnsi="宋体" w:cs="E-BZ"/>
          <w:kern w:val="0"/>
          <w:sz w:val="24"/>
        </w:rPr>
        <w:t>:12</w:t>
      </w:r>
      <w:r>
        <w:rPr>
          <w:rFonts w:hint="eastAsia" w:ascii="宋体" w:hAnsi="宋体" w:cs="FZSSK--GBK1-0"/>
          <w:kern w:val="0"/>
          <w:sz w:val="24"/>
        </w:rPr>
        <w:t>学分</w:t>
      </w:r>
      <w:r>
        <w:rPr>
          <w:rFonts w:hint="eastAsia" w:ascii="宋体" w:hAnsi="宋体" w:cs="E-BZ"/>
          <w:kern w:val="0"/>
          <w:sz w:val="24"/>
        </w:rPr>
        <w:t>；</w:t>
      </w:r>
    </w:p>
    <w:p>
      <w:pPr>
        <w:autoSpaceDE w:val="0"/>
        <w:autoSpaceDN w:val="0"/>
        <w:adjustRightInd w:val="0"/>
        <w:spacing w:line="360" w:lineRule="auto"/>
        <w:ind w:firstLine="480" w:firstLineChars="200"/>
        <w:jc w:val="left"/>
        <w:rPr>
          <w:rFonts w:hint="eastAsia" w:ascii="宋体" w:hAnsi="宋体" w:cs="E-BZ"/>
          <w:kern w:val="0"/>
          <w:sz w:val="24"/>
        </w:rPr>
      </w:pPr>
      <w:r>
        <w:rPr>
          <w:rFonts w:hint="eastAsia" w:ascii="宋体" w:hAnsi="宋体" w:cs="FZSSK--GBK1-0"/>
          <w:kern w:val="0"/>
          <w:sz w:val="24"/>
        </w:rPr>
        <w:t>专业基础课</w:t>
      </w:r>
      <w:r>
        <w:rPr>
          <w:rFonts w:hint="eastAsia" w:ascii="宋体" w:hAnsi="宋体" w:cs="E-BZ"/>
          <w:kern w:val="0"/>
          <w:sz w:val="24"/>
        </w:rPr>
        <w:t>:2</w:t>
      </w:r>
      <w:r>
        <w:rPr>
          <w:rFonts w:hint="eastAsia" w:ascii="宋体" w:hAnsi="宋体" w:cs="E-BZ"/>
          <w:kern w:val="0"/>
          <w:sz w:val="24"/>
          <w:lang w:val="en-US" w:eastAsia="zh-CN"/>
        </w:rPr>
        <w:t>0</w:t>
      </w:r>
      <w:r>
        <w:rPr>
          <w:rFonts w:hint="eastAsia" w:ascii="宋体" w:hAnsi="宋体" w:cs="FZSSK--GBK1-0"/>
          <w:kern w:val="0"/>
          <w:sz w:val="24"/>
        </w:rPr>
        <w:t>学分</w:t>
      </w:r>
      <w:r>
        <w:rPr>
          <w:rFonts w:hint="eastAsia" w:ascii="宋体" w:hAnsi="宋体" w:cs="E-BZ"/>
          <w:kern w:val="0"/>
          <w:sz w:val="24"/>
        </w:rPr>
        <w:t>；</w:t>
      </w:r>
    </w:p>
    <w:p>
      <w:pPr>
        <w:autoSpaceDE w:val="0"/>
        <w:autoSpaceDN w:val="0"/>
        <w:adjustRightInd w:val="0"/>
        <w:spacing w:line="360" w:lineRule="auto"/>
        <w:ind w:firstLine="480" w:firstLineChars="200"/>
        <w:jc w:val="left"/>
        <w:rPr>
          <w:rFonts w:hint="eastAsia" w:ascii="宋体" w:hAnsi="宋体" w:cs="E-BZ"/>
          <w:kern w:val="0"/>
          <w:sz w:val="24"/>
        </w:rPr>
      </w:pPr>
      <w:r>
        <w:rPr>
          <w:rFonts w:hint="eastAsia" w:ascii="宋体" w:hAnsi="宋体" w:cs="FZSSK--GBK1-0"/>
          <w:kern w:val="0"/>
          <w:sz w:val="24"/>
        </w:rPr>
        <w:t>专业核心课</w:t>
      </w:r>
      <w:r>
        <w:rPr>
          <w:rFonts w:hint="eastAsia" w:ascii="宋体" w:hAnsi="宋体" w:cs="E-BZ"/>
          <w:kern w:val="0"/>
          <w:sz w:val="24"/>
        </w:rPr>
        <w:t xml:space="preserve">: </w:t>
      </w:r>
      <w:r>
        <w:rPr>
          <w:rFonts w:hint="eastAsia" w:ascii="宋体" w:hAnsi="宋体" w:cs="E-BZ"/>
          <w:kern w:val="0"/>
          <w:sz w:val="24"/>
          <w:lang w:val="en-US" w:eastAsia="zh-CN"/>
        </w:rPr>
        <w:t>22</w:t>
      </w:r>
      <w:r>
        <w:rPr>
          <w:rFonts w:hint="eastAsia" w:ascii="宋体" w:hAnsi="宋体" w:cs="FZSSK--GBK1-0"/>
          <w:kern w:val="0"/>
          <w:sz w:val="24"/>
        </w:rPr>
        <w:t>学分</w:t>
      </w:r>
      <w:r>
        <w:rPr>
          <w:rFonts w:hint="eastAsia" w:ascii="宋体" w:hAnsi="宋体" w:cs="E-BZ"/>
          <w:kern w:val="0"/>
          <w:sz w:val="24"/>
        </w:rPr>
        <w:t>；</w:t>
      </w:r>
    </w:p>
    <w:p>
      <w:pPr>
        <w:autoSpaceDE w:val="0"/>
        <w:autoSpaceDN w:val="0"/>
        <w:adjustRightInd w:val="0"/>
        <w:spacing w:line="360" w:lineRule="auto"/>
        <w:ind w:firstLine="480" w:firstLineChars="200"/>
        <w:jc w:val="left"/>
        <w:rPr>
          <w:rFonts w:hint="eastAsia" w:ascii="宋体" w:hAnsi="宋体" w:cs="E-BZ"/>
          <w:kern w:val="0"/>
          <w:sz w:val="24"/>
        </w:rPr>
      </w:pPr>
      <w:r>
        <w:rPr>
          <w:rFonts w:hint="eastAsia" w:ascii="宋体" w:hAnsi="宋体" w:cs="FZSSK--GBK1-0"/>
          <w:kern w:val="0"/>
          <w:sz w:val="24"/>
        </w:rPr>
        <w:t>通识课</w:t>
      </w:r>
      <w:r>
        <w:rPr>
          <w:rFonts w:hint="eastAsia" w:ascii="宋体" w:hAnsi="宋体" w:cs="E-BZ"/>
          <w:kern w:val="0"/>
          <w:sz w:val="24"/>
        </w:rPr>
        <w:t>: 2</w:t>
      </w:r>
      <w:r>
        <w:rPr>
          <w:rFonts w:hint="eastAsia" w:ascii="宋体" w:hAnsi="宋体" w:cs="FZSSK--GBK1-0"/>
          <w:kern w:val="0"/>
          <w:sz w:val="24"/>
        </w:rPr>
        <w:t>学分</w:t>
      </w:r>
      <w:r>
        <w:rPr>
          <w:rFonts w:hint="eastAsia" w:ascii="宋体" w:hAnsi="宋体" w:cs="E-BZ"/>
          <w:kern w:val="0"/>
          <w:sz w:val="24"/>
        </w:rPr>
        <w:t>(</w:t>
      </w:r>
      <w:r>
        <w:rPr>
          <w:rFonts w:hint="eastAsia" w:ascii="宋体" w:hAnsi="宋体" w:cs="FZSSK--GBK1-0"/>
          <w:kern w:val="0"/>
          <w:sz w:val="24"/>
        </w:rPr>
        <w:t>不低于</w:t>
      </w:r>
      <w:r>
        <w:rPr>
          <w:rFonts w:hint="eastAsia" w:ascii="宋体" w:hAnsi="宋体" w:cs="E-BZ"/>
          <w:kern w:val="0"/>
          <w:sz w:val="24"/>
        </w:rPr>
        <w:t>2</w:t>
      </w:r>
      <w:r>
        <w:rPr>
          <w:rFonts w:hint="eastAsia" w:ascii="宋体" w:hAnsi="宋体" w:cs="FZSSK--GBK1-0"/>
          <w:kern w:val="0"/>
          <w:sz w:val="24"/>
        </w:rPr>
        <w:t>学分</w:t>
      </w:r>
      <w:r>
        <w:rPr>
          <w:rFonts w:hint="eastAsia" w:ascii="宋体" w:hAnsi="宋体" w:cs="E-BZ"/>
          <w:kern w:val="0"/>
          <w:sz w:val="24"/>
        </w:rPr>
        <w:t>)；</w:t>
      </w:r>
    </w:p>
    <w:p>
      <w:pPr>
        <w:autoSpaceDE w:val="0"/>
        <w:autoSpaceDN w:val="0"/>
        <w:adjustRightInd w:val="0"/>
        <w:spacing w:line="360" w:lineRule="auto"/>
        <w:ind w:firstLine="480" w:firstLineChars="200"/>
        <w:jc w:val="left"/>
        <w:rPr>
          <w:rFonts w:hint="eastAsia" w:ascii="宋体" w:hAnsi="宋体" w:cs="E-BZ"/>
          <w:kern w:val="0"/>
          <w:sz w:val="24"/>
        </w:rPr>
      </w:pPr>
      <w:r>
        <w:rPr>
          <w:rFonts w:hint="eastAsia" w:ascii="宋体" w:hAnsi="宋体" w:cs="FZSSK--GBK1-0"/>
          <w:kern w:val="0"/>
          <w:sz w:val="24"/>
        </w:rPr>
        <w:t>专业拓展课</w:t>
      </w:r>
      <w:r>
        <w:rPr>
          <w:rFonts w:hint="eastAsia" w:ascii="宋体" w:hAnsi="宋体" w:cs="E-BZ"/>
          <w:kern w:val="0"/>
          <w:sz w:val="24"/>
        </w:rPr>
        <w:t>: 1</w:t>
      </w:r>
      <w:r>
        <w:rPr>
          <w:rFonts w:hint="eastAsia" w:ascii="宋体" w:hAnsi="宋体" w:cs="E-BZ"/>
          <w:kern w:val="0"/>
          <w:sz w:val="24"/>
          <w:lang w:val="en-US" w:eastAsia="zh-CN"/>
        </w:rPr>
        <w:t>2</w:t>
      </w:r>
      <w:r>
        <w:rPr>
          <w:rFonts w:hint="eastAsia" w:ascii="宋体" w:hAnsi="宋体" w:cs="FZSSK--GBK1-0"/>
          <w:kern w:val="0"/>
          <w:sz w:val="24"/>
        </w:rPr>
        <w:t>学分</w:t>
      </w:r>
      <w:r>
        <w:rPr>
          <w:rFonts w:hint="eastAsia" w:ascii="宋体" w:hAnsi="宋体" w:cs="E-BZ"/>
          <w:kern w:val="0"/>
          <w:sz w:val="24"/>
        </w:rPr>
        <w:t>；</w:t>
      </w:r>
    </w:p>
    <w:p>
      <w:pPr>
        <w:autoSpaceDE w:val="0"/>
        <w:autoSpaceDN w:val="0"/>
        <w:adjustRightInd w:val="0"/>
        <w:spacing w:line="360" w:lineRule="auto"/>
        <w:ind w:firstLine="480" w:firstLineChars="200"/>
        <w:jc w:val="left"/>
        <w:rPr>
          <w:rFonts w:ascii="宋体" w:hAnsi="宋体" w:cs="FZSSK--GBK1-0"/>
          <w:kern w:val="0"/>
          <w:sz w:val="24"/>
        </w:rPr>
      </w:pPr>
      <w:r>
        <w:rPr>
          <w:rFonts w:hint="eastAsia" w:ascii="宋体" w:hAnsi="宋体" w:cs="FZSSK--GBK1-0"/>
          <w:kern w:val="0"/>
          <w:sz w:val="24"/>
        </w:rPr>
        <w:t>综合实践</w:t>
      </w:r>
      <w:r>
        <w:rPr>
          <w:rFonts w:hint="eastAsia" w:ascii="宋体" w:hAnsi="宋体" w:cs="E-BZ"/>
          <w:kern w:val="0"/>
          <w:sz w:val="24"/>
        </w:rPr>
        <w:t>: 8</w:t>
      </w:r>
      <w:r>
        <w:rPr>
          <w:rFonts w:hint="eastAsia" w:ascii="宋体" w:hAnsi="宋体" w:cs="FZSSK--GBK1-0"/>
          <w:kern w:val="0"/>
          <w:sz w:val="24"/>
        </w:rPr>
        <w:t>学分</w:t>
      </w:r>
      <w:r>
        <w:rPr>
          <w:rFonts w:hint="eastAsia" w:ascii="宋体" w:hAnsi="宋体" w:cs="E-BZ"/>
          <w:kern w:val="0"/>
          <w:sz w:val="24"/>
        </w:rPr>
        <w:t>。</w:t>
      </w:r>
    </w:p>
    <w:p>
      <w:pPr>
        <w:autoSpaceDE w:val="0"/>
        <w:autoSpaceDN w:val="0"/>
        <w:adjustRightInd w:val="0"/>
        <w:spacing w:line="360" w:lineRule="auto"/>
        <w:ind w:firstLine="480" w:firstLineChars="200"/>
        <w:jc w:val="left"/>
        <w:rPr>
          <w:rFonts w:ascii="宋体" w:hAnsi="宋体" w:cs="FZSSK--GBK1-0"/>
          <w:kern w:val="0"/>
          <w:sz w:val="24"/>
        </w:rPr>
      </w:pPr>
      <w:r>
        <w:rPr>
          <w:rFonts w:hint="eastAsia" w:ascii="宋体" w:hAnsi="宋体" w:cs="FZSSK--GBK1-0"/>
          <w:kern w:val="0"/>
          <w:sz w:val="24"/>
        </w:rPr>
        <w:t>本专业毕业最低学分为</w:t>
      </w:r>
      <w:r>
        <w:rPr>
          <w:rFonts w:hint="eastAsia" w:ascii="宋体" w:hAnsi="宋体" w:cs="E-BZ"/>
          <w:kern w:val="0"/>
          <w:sz w:val="24"/>
        </w:rPr>
        <w:t>76</w:t>
      </w:r>
      <w:r>
        <w:rPr>
          <w:rFonts w:hint="eastAsia" w:ascii="宋体" w:hAnsi="宋体" w:cs="FZSSK--GBK1-0"/>
          <w:kern w:val="0"/>
          <w:sz w:val="24"/>
        </w:rPr>
        <w:t>学分</w:t>
      </w:r>
      <w:r>
        <w:rPr>
          <w:rFonts w:hint="eastAsia" w:ascii="宋体" w:hAnsi="宋体" w:cs="E-BZ"/>
          <w:kern w:val="0"/>
          <w:sz w:val="24"/>
        </w:rPr>
        <w:t>，</w:t>
      </w:r>
      <w:r>
        <w:rPr>
          <w:rFonts w:hint="eastAsia" w:ascii="宋体" w:hAnsi="宋体" w:cs="FZSSK--GBK1-0"/>
          <w:kern w:val="0"/>
          <w:sz w:val="24"/>
        </w:rPr>
        <w:t>各模块毕业最低学分之和为</w:t>
      </w:r>
      <w:r>
        <w:rPr>
          <w:rFonts w:hint="eastAsia" w:ascii="宋体" w:hAnsi="宋体" w:cs="E-BZ"/>
          <w:kern w:val="0"/>
          <w:sz w:val="24"/>
        </w:rPr>
        <w:t>76</w:t>
      </w:r>
      <w:r>
        <w:rPr>
          <w:rFonts w:hint="eastAsia" w:ascii="宋体" w:hAnsi="宋体" w:cs="FZSSK--GBK1-0"/>
          <w:kern w:val="0"/>
          <w:sz w:val="24"/>
        </w:rPr>
        <w:t>学分</w:t>
      </w:r>
      <w:r>
        <w:rPr>
          <w:rFonts w:hint="eastAsia" w:ascii="宋体" w:hAnsi="宋体" w:cs="E-BZ"/>
          <w:kern w:val="0"/>
          <w:sz w:val="24"/>
        </w:rPr>
        <w:t>，</w:t>
      </w:r>
      <w:r>
        <w:rPr>
          <w:rFonts w:hint="eastAsia" w:ascii="宋体" w:hAnsi="宋体" w:cs="FZSSK--GBK1-0"/>
          <w:kern w:val="0"/>
          <w:sz w:val="24"/>
        </w:rPr>
        <w:t>各模块国家开放大学考试最低学分之和为</w:t>
      </w:r>
      <w:r>
        <w:rPr>
          <w:rFonts w:hint="eastAsia" w:ascii="宋体" w:hAnsi="宋体" w:cs="E-BZ"/>
          <w:kern w:val="0"/>
          <w:sz w:val="24"/>
          <w:lang w:val="en-US" w:eastAsia="zh-CN"/>
        </w:rPr>
        <w:t>20</w:t>
      </w:r>
      <w:bookmarkStart w:id="0" w:name="_GoBack"/>
      <w:bookmarkEnd w:id="0"/>
      <w:r>
        <w:rPr>
          <w:rFonts w:hint="eastAsia" w:ascii="宋体" w:hAnsi="宋体" w:cs="FZSSK--GBK1-0"/>
          <w:kern w:val="0"/>
          <w:sz w:val="24"/>
        </w:rPr>
        <w:t>学分</w:t>
      </w:r>
      <w:r>
        <w:rPr>
          <w:rFonts w:hint="eastAsia" w:ascii="宋体" w:hAnsi="宋体" w:cs="E-BZ"/>
          <w:kern w:val="0"/>
          <w:sz w:val="24"/>
        </w:rPr>
        <w:t>。</w:t>
      </w:r>
    </w:p>
    <w:p>
      <w:pPr>
        <w:numPr>
          <w:ilvl w:val="0"/>
          <w:numId w:val="4"/>
        </w:numPr>
        <w:autoSpaceDE w:val="0"/>
        <w:autoSpaceDN w:val="0"/>
        <w:adjustRightInd w:val="0"/>
        <w:spacing w:line="360" w:lineRule="auto"/>
        <w:ind w:firstLine="562" w:firstLineChars="200"/>
        <w:jc w:val="left"/>
        <w:rPr>
          <w:rFonts w:hint="eastAsia" w:ascii="宋体" w:hAnsi="宋体" w:cs="FZY3K--GBK1-0"/>
          <w:b/>
          <w:kern w:val="0"/>
          <w:sz w:val="28"/>
          <w:szCs w:val="28"/>
        </w:rPr>
      </w:pPr>
      <w:r>
        <w:rPr>
          <w:rFonts w:hint="eastAsia" w:ascii="宋体" w:hAnsi="宋体" w:cs="FZY3K--GBK1-0"/>
          <w:b/>
          <w:kern w:val="0"/>
          <w:sz w:val="28"/>
          <w:szCs w:val="28"/>
          <w:lang w:eastAsia="zh-CN"/>
        </w:rPr>
        <w:t>其他</w:t>
      </w:r>
    </w:p>
    <w:p>
      <w:pPr>
        <w:autoSpaceDE w:val="0"/>
        <w:autoSpaceDN w:val="0"/>
        <w:adjustRightInd w:val="0"/>
        <w:spacing w:line="360" w:lineRule="auto"/>
        <w:ind w:firstLine="480" w:firstLineChars="200"/>
        <w:jc w:val="left"/>
        <w:rPr>
          <w:rFonts w:hint="eastAsia" w:ascii="宋体" w:hAnsi="宋体" w:cs="FZSSK--GBK1-0"/>
          <w:b w:val="0"/>
          <w:bCs w:val="0"/>
          <w:kern w:val="0"/>
          <w:sz w:val="24"/>
          <w:lang w:val="en-US" w:eastAsia="zh-CN"/>
        </w:rPr>
      </w:pPr>
      <w:r>
        <w:rPr>
          <w:rFonts w:hint="eastAsia" w:ascii="宋体" w:hAnsi="宋体" w:cs="FZSSK--GBK1-0"/>
          <w:kern w:val="0"/>
          <w:sz w:val="24"/>
          <w:lang w:eastAsia="zh-CN"/>
        </w:rPr>
        <w:t>本专业凭国家等级证书可以免修免考相应课程，具体见下表</w:t>
      </w:r>
      <w:r>
        <w:rPr>
          <w:rFonts w:hint="eastAsia" w:ascii="宋体" w:hAnsi="宋体" w:cs="FZSSK--GBK1-0"/>
          <w:kern w:val="0"/>
          <w:sz w:val="24"/>
          <w:lang w:val="en-US" w:eastAsia="zh-CN"/>
        </w:rPr>
        <w:t>。</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5"/>
        <w:gridCol w:w="3937"/>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85" w:type="dxa"/>
            <w:vAlign w:val="center"/>
          </w:tcPr>
          <w:p>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证书名称</w:t>
            </w:r>
          </w:p>
        </w:tc>
        <w:tc>
          <w:tcPr>
            <w:tcW w:w="3937" w:type="dxa"/>
            <w:vAlign w:val="center"/>
          </w:tcPr>
          <w:p>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可替换课程</w:t>
            </w:r>
          </w:p>
        </w:tc>
        <w:tc>
          <w:tcPr>
            <w:tcW w:w="698" w:type="dxa"/>
            <w:vAlign w:val="center"/>
          </w:tcPr>
          <w:p>
            <w:pPr>
              <w:spacing w:line="360" w:lineRule="auto"/>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8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企业班组现场管理专项职业能力证书</w:t>
            </w:r>
          </w:p>
        </w:tc>
        <w:tc>
          <w:tcPr>
            <w:tcW w:w="3937"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《企业现场管理基础》</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《企业现场管理专项能力认证培训》</w:t>
            </w:r>
          </w:p>
        </w:tc>
        <w:tc>
          <w:tcPr>
            <w:tcW w:w="698"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8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员工关系管理专项职业能力证书</w:t>
            </w:r>
          </w:p>
        </w:tc>
        <w:tc>
          <w:tcPr>
            <w:tcW w:w="393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员工关系管理</w:t>
            </w:r>
          </w:p>
        </w:tc>
        <w:tc>
          <w:tcPr>
            <w:tcW w:w="698"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88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企业人力资源管理师职业资格证书</w:t>
            </w:r>
          </w:p>
        </w:tc>
        <w:tc>
          <w:tcPr>
            <w:tcW w:w="393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人力资源管理</w:t>
            </w:r>
          </w:p>
        </w:tc>
        <w:tc>
          <w:tcPr>
            <w:tcW w:w="698"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r>
    </w:tbl>
    <w:p>
      <w:pPr>
        <w:numPr>
          <w:numId w:val="0"/>
        </w:numPr>
        <w:autoSpaceDE w:val="0"/>
        <w:autoSpaceDN w:val="0"/>
        <w:adjustRightInd w:val="0"/>
        <w:spacing w:line="360" w:lineRule="auto"/>
        <w:jc w:val="left"/>
        <w:rPr>
          <w:rFonts w:hint="eastAsia" w:ascii="宋体" w:hAnsi="宋体" w:cs="FZSSK--GBK1-0"/>
          <w:kern w:val="0"/>
          <w:sz w:val="24"/>
        </w:rPr>
      </w:pPr>
    </w:p>
    <w:p>
      <w:pPr>
        <w:numPr>
          <w:ilvl w:val="0"/>
          <w:numId w:val="4"/>
        </w:numPr>
        <w:autoSpaceDE w:val="0"/>
        <w:autoSpaceDN w:val="0"/>
        <w:adjustRightInd w:val="0"/>
        <w:spacing w:line="360" w:lineRule="auto"/>
        <w:ind w:firstLine="562" w:firstLineChars="200"/>
        <w:jc w:val="left"/>
        <w:rPr>
          <w:rFonts w:hint="eastAsia" w:ascii="宋体" w:hAnsi="宋体" w:cs="FZY3K--GBK1-0"/>
          <w:b/>
          <w:kern w:val="0"/>
          <w:sz w:val="28"/>
          <w:szCs w:val="28"/>
        </w:rPr>
      </w:pPr>
      <w:r>
        <w:rPr>
          <w:rFonts w:hint="eastAsia" w:ascii="宋体" w:hAnsi="宋体" w:cs="FZY3K--GBK1-0"/>
          <w:b/>
          <w:kern w:val="0"/>
          <w:sz w:val="28"/>
          <w:szCs w:val="28"/>
        </w:rPr>
        <w:t>课程说明</w:t>
      </w:r>
    </w:p>
    <w:tbl>
      <w:tblPr>
        <w:tblStyle w:val="5"/>
        <w:tblW w:w="885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667"/>
        <w:gridCol w:w="5565"/>
        <w:gridCol w:w="456"/>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50" w:type="dxa"/>
            <w:vMerge w:val="restart"/>
            <w:vAlign w:val="center"/>
          </w:tcPr>
          <w:p>
            <w:pPr>
              <w:widowControl/>
              <w:jc w:val="center"/>
              <w:rPr>
                <w:rFonts w:ascii="宋体" w:hAnsi="宋体" w:eastAsia="宋体" w:cs="Tahoma"/>
                <w:bCs/>
                <w:color w:val="000000"/>
                <w:kern w:val="0"/>
                <w:sz w:val="24"/>
              </w:rPr>
            </w:pPr>
            <w:r>
              <w:rPr>
                <w:rFonts w:hint="eastAsia" w:ascii="宋体" w:hAnsi="宋体" w:eastAsia="宋体" w:cs="Tahoma"/>
                <w:bCs/>
                <w:color w:val="000000"/>
                <w:kern w:val="0"/>
                <w:sz w:val="24"/>
              </w:rPr>
              <w:t>模块名</w:t>
            </w:r>
          </w:p>
        </w:tc>
        <w:tc>
          <w:tcPr>
            <w:tcW w:w="1667" w:type="dxa"/>
            <w:vMerge w:val="restart"/>
            <w:vAlign w:val="center"/>
          </w:tcPr>
          <w:p>
            <w:pPr>
              <w:widowControl/>
              <w:jc w:val="center"/>
              <w:rPr>
                <w:rFonts w:ascii="宋体" w:hAnsi="宋体" w:eastAsia="宋体" w:cs="Tahoma"/>
                <w:bCs/>
                <w:color w:val="000000"/>
                <w:kern w:val="0"/>
                <w:sz w:val="24"/>
              </w:rPr>
            </w:pPr>
            <w:r>
              <w:rPr>
                <w:rFonts w:hint="eastAsia" w:ascii="宋体" w:hAnsi="宋体" w:eastAsia="宋体" w:cs="Tahoma"/>
                <w:bCs/>
                <w:color w:val="000000"/>
                <w:kern w:val="0"/>
                <w:sz w:val="24"/>
              </w:rPr>
              <w:t>课程名称</w:t>
            </w:r>
          </w:p>
        </w:tc>
        <w:tc>
          <w:tcPr>
            <w:tcW w:w="5565" w:type="dxa"/>
            <w:vMerge w:val="restart"/>
            <w:vAlign w:val="center"/>
          </w:tcPr>
          <w:p>
            <w:pPr>
              <w:widowControl/>
              <w:jc w:val="center"/>
              <w:rPr>
                <w:rFonts w:ascii="宋体" w:hAnsi="宋体" w:eastAsia="宋体" w:cs="Tahoma"/>
                <w:bCs/>
                <w:color w:val="000000"/>
                <w:kern w:val="0"/>
                <w:sz w:val="24"/>
              </w:rPr>
            </w:pPr>
            <w:r>
              <w:rPr>
                <w:rFonts w:hint="eastAsia" w:ascii="宋体" w:hAnsi="宋体" w:eastAsia="宋体" w:cs="Tahoma"/>
                <w:bCs/>
                <w:color w:val="000000"/>
                <w:kern w:val="0"/>
                <w:sz w:val="24"/>
              </w:rPr>
              <w:t>课程简介</w:t>
            </w:r>
          </w:p>
        </w:tc>
        <w:tc>
          <w:tcPr>
            <w:tcW w:w="456" w:type="dxa"/>
            <w:vMerge w:val="restart"/>
            <w:vAlign w:val="center"/>
          </w:tcPr>
          <w:p>
            <w:pPr>
              <w:widowControl/>
              <w:jc w:val="center"/>
              <w:rPr>
                <w:rFonts w:ascii="宋体" w:hAnsi="宋体" w:eastAsia="宋体" w:cs="Tahoma"/>
                <w:bCs/>
                <w:color w:val="000000"/>
                <w:kern w:val="0"/>
                <w:sz w:val="24"/>
              </w:rPr>
            </w:pPr>
            <w:r>
              <w:rPr>
                <w:rFonts w:hint="eastAsia" w:ascii="宋体" w:hAnsi="宋体" w:eastAsia="宋体" w:cs="Tahoma"/>
                <w:bCs/>
                <w:color w:val="000000"/>
                <w:kern w:val="0"/>
                <w:sz w:val="24"/>
              </w:rPr>
              <w:t>学分</w:t>
            </w:r>
          </w:p>
        </w:tc>
        <w:tc>
          <w:tcPr>
            <w:tcW w:w="612" w:type="dxa"/>
            <w:vMerge w:val="restart"/>
            <w:vAlign w:val="center"/>
          </w:tcPr>
          <w:p>
            <w:pPr>
              <w:widowControl/>
              <w:jc w:val="center"/>
              <w:rPr>
                <w:rFonts w:ascii="宋体" w:hAnsi="宋体" w:eastAsia="宋体" w:cs="Tahoma"/>
                <w:bCs/>
                <w:color w:val="000000"/>
                <w:kern w:val="0"/>
                <w:sz w:val="24"/>
              </w:rPr>
            </w:pPr>
            <w:r>
              <w:rPr>
                <w:rFonts w:hint="eastAsia" w:ascii="宋体" w:hAnsi="宋体" w:eastAsia="宋体" w:cs="Tahoma"/>
                <w:bCs/>
                <w:color w:val="000000"/>
                <w:kern w:val="0"/>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50" w:type="dxa"/>
            <w:vMerge w:val="continue"/>
            <w:vAlign w:val="center"/>
          </w:tcPr>
          <w:p>
            <w:pPr>
              <w:widowControl/>
              <w:rPr>
                <w:rFonts w:ascii="宋体" w:hAnsi="宋体" w:eastAsia="宋体" w:cs="Tahoma"/>
                <w:bCs/>
                <w:color w:val="000000"/>
                <w:kern w:val="0"/>
                <w:sz w:val="24"/>
              </w:rPr>
            </w:pPr>
          </w:p>
        </w:tc>
        <w:tc>
          <w:tcPr>
            <w:tcW w:w="1667" w:type="dxa"/>
            <w:vMerge w:val="continue"/>
            <w:vAlign w:val="center"/>
          </w:tcPr>
          <w:p>
            <w:pPr>
              <w:widowControl/>
              <w:rPr>
                <w:rFonts w:ascii="宋体" w:hAnsi="宋体" w:eastAsia="宋体" w:cs="Tahoma"/>
                <w:bCs/>
                <w:color w:val="000000"/>
                <w:kern w:val="0"/>
                <w:sz w:val="24"/>
              </w:rPr>
            </w:pPr>
          </w:p>
        </w:tc>
        <w:tc>
          <w:tcPr>
            <w:tcW w:w="5565" w:type="dxa"/>
            <w:vMerge w:val="continue"/>
            <w:vAlign w:val="center"/>
          </w:tcPr>
          <w:p>
            <w:pPr>
              <w:widowControl/>
              <w:rPr>
                <w:rFonts w:ascii="宋体" w:hAnsi="宋体" w:eastAsia="宋体" w:cs="Tahoma"/>
                <w:bCs/>
                <w:color w:val="000000"/>
                <w:kern w:val="0"/>
                <w:sz w:val="24"/>
              </w:rPr>
            </w:pPr>
          </w:p>
        </w:tc>
        <w:tc>
          <w:tcPr>
            <w:tcW w:w="456" w:type="dxa"/>
            <w:vMerge w:val="continue"/>
            <w:vAlign w:val="center"/>
          </w:tcPr>
          <w:p>
            <w:pPr>
              <w:widowControl/>
              <w:jc w:val="center"/>
              <w:rPr>
                <w:rFonts w:ascii="宋体" w:hAnsi="宋体" w:eastAsia="宋体" w:cs="Tahoma"/>
                <w:bCs/>
                <w:color w:val="000000"/>
                <w:kern w:val="0"/>
                <w:sz w:val="24"/>
              </w:rPr>
            </w:pPr>
          </w:p>
        </w:tc>
        <w:tc>
          <w:tcPr>
            <w:tcW w:w="612" w:type="dxa"/>
            <w:vMerge w:val="continue"/>
            <w:vAlign w:val="center"/>
          </w:tcPr>
          <w:p>
            <w:pPr>
              <w:widowControl/>
              <w:jc w:val="center"/>
              <w:rPr>
                <w:rFonts w:ascii="宋体" w:hAnsi="宋体" w:eastAsia="宋体" w:cs="Tahoma"/>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50" w:type="dxa"/>
            <w:vMerge w:val="continue"/>
            <w:vAlign w:val="center"/>
          </w:tcPr>
          <w:p>
            <w:pPr>
              <w:widowControl/>
              <w:rPr>
                <w:rFonts w:ascii="宋体" w:hAnsi="宋体" w:eastAsia="宋体" w:cs="Tahoma"/>
                <w:bCs/>
                <w:color w:val="000000"/>
                <w:kern w:val="0"/>
                <w:sz w:val="24"/>
              </w:rPr>
            </w:pPr>
          </w:p>
        </w:tc>
        <w:tc>
          <w:tcPr>
            <w:tcW w:w="1667" w:type="dxa"/>
            <w:vMerge w:val="continue"/>
            <w:vAlign w:val="center"/>
          </w:tcPr>
          <w:p>
            <w:pPr>
              <w:widowControl/>
              <w:rPr>
                <w:rFonts w:ascii="宋体" w:hAnsi="宋体" w:eastAsia="宋体" w:cs="Tahoma"/>
                <w:bCs/>
                <w:color w:val="000000"/>
                <w:kern w:val="0"/>
                <w:sz w:val="24"/>
              </w:rPr>
            </w:pPr>
          </w:p>
        </w:tc>
        <w:tc>
          <w:tcPr>
            <w:tcW w:w="5565" w:type="dxa"/>
            <w:vMerge w:val="continue"/>
            <w:vAlign w:val="center"/>
          </w:tcPr>
          <w:p>
            <w:pPr>
              <w:widowControl/>
              <w:rPr>
                <w:rFonts w:ascii="宋体" w:hAnsi="宋体" w:eastAsia="宋体" w:cs="Tahoma"/>
                <w:bCs/>
                <w:color w:val="000000"/>
                <w:kern w:val="0"/>
                <w:sz w:val="24"/>
              </w:rPr>
            </w:pPr>
          </w:p>
        </w:tc>
        <w:tc>
          <w:tcPr>
            <w:tcW w:w="456" w:type="dxa"/>
            <w:vMerge w:val="continue"/>
            <w:vAlign w:val="center"/>
          </w:tcPr>
          <w:p>
            <w:pPr>
              <w:widowControl/>
              <w:jc w:val="center"/>
              <w:rPr>
                <w:rFonts w:ascii="宋体" w:hAnsi="宋体" w:eastAsia="宋体" w:cs="Tahoma"/>
                <w:bCs/>
                <w:color w:val="000000"/>
                <w:kern w:val="0"/>
                <w:sz w:val="24"/>
              </w:rPr>
            </w:pPr>
          </w:p>
        </w:tc>
        <w:tc>
          <w:tcPr>
            <w:tcW w:w="612" w:type="dxa"/>
            <w:vMerge w:val="continue"/>
            <w:vAlign w:val="center"/>
          </w:tcPr>
          <w:p>
            <w:pPr>
              <w:widowControl/>
              <w:jc w:val="center"/>
              <w:rPr>
                <w:rFonts w:ascii="宋体" w:hAnsi="宋体" w:eastAsia="宋体" w:cs="Tahoma"/>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restart"/>
            <w:vAlign w:val="center"/>
          </w:tcPr>
          <w:p>
            <w:pPr>
              <w:widowControl/>
              <w:rPr>
                <w:rFonts w:ascii="宋体" w:hAnsi="宋体" w:eastAsia="宋体" w:cs="Tahoma"/>
                <w:color w:val="000000"/>
                <w:kern w:val="0"/>
                <w:sz w:val="24"/>
              </w:rPr>
            </w:pPr>
            <w:r>
              <w:rPr>
                <w:rFonts w:hint="eastAsia" w:ascii="宋体" w:hAnsi="宋体" w:eastAsia="宋体" w:cs="Tahoma"/>
                <w:color w:val="000000"/>
                <w:kern w:val="0"/>
                <w:sz w:val="24"/>
              </w:rPr>
              <w:t>公共基础课</w:t>
            </w:r>
          </w:p>
        </w:tc>
        <w:tc>
          <w:tcPr>
            <w:tcW w:w="1667" w:type="dxa"/>
            <w:vAlign w:val="center"/>
          </w:tcPr>
          <w:p>
            <w:pPr>
              <w:widowControl/>
              <w:rPr>
                <w:rFonts w:ascii="宋体" w:hAnsi="宋体" w:eastAsia="宋体" w:cs="Tahoma"/>
                <w:bCs/>
                <w:color w:val="000000"/>
                <w:kern w:val="0"/>
                <w:sz w:val="24"/>
              </w:rPr>
            </w:pPr>
            <w:r>
              <w:rPr>
                <w:rFonts w:hint="eastAsia" w:ascii="宋体" w:hAnsi="宋体" w:eastAsia="宋体" w:cs="Tahoma"/>
                <w:bCs/>
                <w:color w:val="000000"/>
                <w:kern w:val="0"/>
                <w:sz w:val="24"/>
              </w:rPr>
              <w:t>中国特色社会主义理论体系概论</w:t>
            </w:r>
          </w:p>
        </w:tc>
        <w:tc>
          <w:tcPr>
            <w:tcW w:w="5565" w:type="dxa"/>
            <w:vAlign w:val="center"/>
          </w:tcPr>
          <w:p>
            <w:pPr>
              <w:widowControl/>
              <w:rPr>
                <w:rFonts w:ascii="宋体" w:hAnsi="宋体" w:eastAsia="宋体" w:cs="Tahoma"/>
                <w:color w:val="000000"/>
                <w:kern w:val="0"/>
                <w:sz w:val="24"/>
              </w:rPr>
            </w:pPr>
            <w:r>
              <w:rPr>
                <w:rFonts w:hint="eastAsia" w:ascii="宋体" w:hAnsi="宋体" w:eastAsia="宋体" w:cs="Tahoma"/>
                <w:color w:val="000000"/>
                <w:kern w:val="0"/>
                <w:sz w:val="24"/>
              </w:rPr>
              <w:t>本课程是根据我国改革开放以来, 中国共产党历次代表大会, 特别是“十</w:t>
            </w:r>
          </w:p>
          <w:p>
            <w:pPr>
              <w:widowControl/>
              <w:rPr>
                <w:rFonts w:ascii="宋体" w:hAnsi="宋体" w:eastAsia="宋体" w:cs="Tahoma"/>
                <w:color w:val="000000"/>
                <w:kern w:val="0"/>
                <w:sz w:val="24"/>
              </w:rPr>
            </w:pPr>
            <w:r>
              <w:rPr>
                <w:rFonts w:hint="eastAsia" w:ascii="宋体" w:hAnsi="宋体" w:eastAsia="宋体" w:cs="Tahoma"/>
                <w:color w:val="000000"/>
                <w:kern w:val="0"/>
                <w:sz w:val="24"/>
              </w:rPr>
              <w:t>八大冶报告精神, 为培养国家开放大学学生掌握中国特色社会主义理论体系的</w:t>
            </w:r>
          </w:p>
          <w:p>
            <w:pPr>
              <w:widowControl/>
              <w:rPr>
                <w:rFonts w:ascii="宋体" w:hAnsi="宋体" w:eastAsia="宋体" w:cs="Tahoma"/>
                <w:color w:val="000000"/>
                <w:kern w:val="0"/>
                <w:sz w:val="24"/>
              </w:rPr>
            </w:pPr>
            <w:r>
              <w:rPr>
                <w:rFonts w:hint="eastAsia" w:ascii="宋体" w:hAnsi="宋体" w:eastAsia="宋体" w:cs="Tahoma"/>
                <w:color w:val="000000"/>
                <w:kern w:val="0"/>
                <w:sz w:val="24"/>
              </w:rPr>
              <w:t>主要内容和精神实质而开设的公共必修思想政治理论课。</w:t>
            </w:r>
          </w:p>
          <w:p>
            <w:pPr>
              <w:widowControl/>
              <w:rPr>
                <w:rFonts w:ascii="宋体" w:hAnsi="宋体" w:eastAsia="宋体" w:cs="Tahoma"/>
                <w:color w:val="000000"/>
                <w:kern w:val="0"/>
                <w:sz w:val="24"/>
              </w:rPr>
            </w:pPr>
            <w:r>
              <w:rPr>
                <w:rFonts w:hint="eastAsia" w:ascii="宋体" w:hAnsi="宋体" w:eastAsia="宋体" w:cs="Tahoma"/>
                <w:color w:val="000000"/>
                <w:kern w:val="0"/>
                <w:sz w:val="24"/>
              </w:rPr>
              <w:t>本课程文字教材《中国特色社会主义理论体系概论》采用了“导论加11章的结构。分别介绍了中国特色社会主义理论体系的形成发展过程及中国特色社会主义的思想路线、总依据、总任务、发展动力, 中国特色社会主义的经济建设、政治建设、文化建设、社会建设、生态文明建设, 祖国完全统一构想和新时期外交政策, 中国特色社会主义的依靠力量和领导核心等内容。</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2</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ascii="宋体" w:hAnsi="宋体" w:eastAsia="宋体" w:cs="Tahoma"/>
                <w:color w:val="000000"/>
                <w:kern w:val="0"/>
                <w:sz w:val="24"/>
              </w:rPr>
            </w:pPr>
          </w:p>
        </w:tc>
        <w:tc>
          <w:tcPr>
            <w:tcW w:w="1667" w:type="dxa"/>
            <w:vAlign w:val="center"/>
          </w:tcPr>
          <w:p>
            <w:pPr>
              <w:widowControl/>
              <w:rPr>
                <w:rFonts w:ascii="宋体" w:hAnsi="宋体" w:eastAsia="宋体" w:cs="Tahoma"/>
                <w:bCs/>
                <w:color w:val="000000"/>
                <w:kern w:val="0"/>
                <w:sz w:val="24"/>
              </w:rPr>
            </w:pPr>
            <w:r>
              <w:rPr>
                <w:rFonts w:hint="eastAsia" w:ascii="宋体" w:hAnsi="宋体" w:eastAsia="宋体" w:cs="Tahoma"/>
                <w:bCs/>
                <w:color w:val="000000"/>
                <w:kern w:val="0"/>
                <w:sz w:val="24"/>
              </w:rPr>
              <w:t>国家开放大学学习指南</w:t>
            </w:r>
          </w:p>
        </w:tc>
        <w:tc>
          <w:tcPr>
            <w:tcW w:w="5565" w:type="dxa"/>
            <w:vAlign w:val="center"/>
          </w:tcPr>
          <w:p>
            <w:pPr>
              <w:widowControl/>
              <w:rPr>
                <w:rFonts w:ascii="宋体" w:hAnsi="宋体" w:eastAsia="宋体" w:cs="Tahoma"/>
                <w:color w:val="000000"/>
                <w:kern w:val="0"/>
                <w:sz w:val="24"/>
              </w:rPr>
            </w:pPr>
            <w:r>
              <w:rPr>
                <w:rFonts w:hint="eastAsia" w:ascii="宋体" w:hAnsi="宋体" w:eastAsia="宋体" w:cs="Tahoma"/>
                <w:color w:val="000000"/>
                <w:kern w:val="0"/>
                <w:sz w:val="24"/>
              </w:rPr>
              <w:t>本课程的主要内容: 以完成学习任务的过程为导向, 从学习者如何完成国家开放大学规定的专业学习任务的角度, 让学习者学会如何完成一门课程的学习、一个专业的学习, 同时描述国家开放大学基本的学习方式, 说明国家开放大学的学习环境, 解释国家开放大学学习平台上基本术语的含义, 使学生能使用学习平台的基本工具辅助完成学习活动, 并且了解国家开放大学学生相关事务与管理规定, 使学生初步具备利用现代远程技术在国家开放大学进行学习的能力。</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1</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ascii="宋体" w:hAnsi="宋体" w:eastAsia="宋体" w:cs="Tahoma"/>
                <w:color w:val="000000"/>
                <w:kern w:val="0"/>
                <w:sz w:val="24"/>
              </w:rPr>
            </w:pPr>
          </w:p>
        </w:tc>
        <w:tc>
          <w:tcPr>
            <w:tcW w:w="1667" w:type="dxa"/>
            <w:vAlign w:val="center"/>
          </w:tcPr>
          <w:p>
            <w:pPr>
              <w:widowControl/>
              <w:rPr>
                <w:rFonts w:hint="eastAsia" w:ascii="宋体" w:hAnsi="宋体" w:eastAsia="宋体" w:cs="Tahoma"/>
                <w:bCs/>
                <w:color w:val="000000"/>
                <w:kern w:val="0"/>
                <w:sz w:val="24"/>
              </w:rPr>
            </w:pPr>
            <w:r>
              <w:rPr>
                <w:rFonts w:hint="eastAsia" w:ascii="宋体" w:hAnsi="宋体" w:eastAsia="宋体" w:cs="Tahoma"/>
                <w:color w:val="000000"/>
                <w:kern w:val="0"/>
                <w:sz w:val="24"/>
              </w:rPr>
              <w:t>职业生涯规划（</w:t>
            </w:r>
            <w:r>
              <w:rPr>
                <w:rFonts w:ascii="宋体" w:hAnsi="宋体" w:eastAsia="宋体"/>
                <w:color w:val="000000"/>
                <w:kern w:val="0"/>
                <w:sz w:val="24"/>
              </w:rPr>
              <w:t>1</w:t>
            </w:r>
            <w:r>
              <w:rPr>
                <w:rFonts w:hint="eastAsia" w:ascii="宋体" w:hAnsi="宋体" w:eastAsia="宋体" w:cs="Tahoma"/>
                <w:color w:val="000000"/>
                <w:kern w:val="0"/>
                <w:sz w:val="24"/>
              </w:rPr>
              <w:t>）</w:t>
            </w:r>
          </w:p>
        </w:tc>
        <w:tc>
          <w:tcPr>
            <w:tcW w:w="5565" w:type="dxa"/>
            <w:vAlign w:val="center"/>
          </w:tcPr>
          <w:p>
            <w:pPr>
              <w:widowControl/>
              <w:rPr>
                <w:rFonts w:ascii="宋体" w:hAnsi="宋体" w:eastAsia="宋体" w:cs="Tahoma"/>
                <w:color w:val="000000"/>
                <w:kern w:val="0"/>
                <w:sz w:val="24"/>
              </w:rPr>
            </w:pPr>
            <w:r>
              <w:rPr>
                <w:rFonts w:ascii="宋体" w:hAnsi="宋体" w:eastAsia="宋体" w:cs="Tahoma"/>
                <w:bCs/>
                <w:color w:val="000000"/>
                <w:kern w:val="0"/>
                <w:sz w:val="24"/>
              </w:rPr>
              <w:t>一项职业和组织的生产性贡献和成就期望</w:t>
            </w:r>
            <w:r>
              <w:rPr>
                <w:rFonts w:hint="eastAsia" w:ascii="宋体" w:hAnsi="宋体" w:eastAsia="宋体" w:cs="Tahoma"/>
                <w:bCs/>
                <w:color w:val="000000"/>
                <w:kern w:val="0"/>
                <w:sz w:val="24"/>
              </w:rPr>
              <w:t>、如何制定职业规划等</w:t>
            </w:r>
            <w:r>
              <w:rPr>
                <w:rFonts w:hint="eastAsia" w:ascii="宋体" w:hAnsi="宋体" w:cs="Tahoma"/>
                <w:bCs/>
                <w:color w:val="000000"/>
                <w:kern w:val="0"/>
                <w:sz w:val="24"/>
                <w:lang w:eastAsia="zh-CN"/>
              </w:rPr>
              <w:t>。</w:t>
            </w:r>
          </w:p>
        </w:tc>
        <w:tc>
          <w:tcPr>
            <w:tcW w:w="456" w:type="dxa"/>
            <w:vAlign w:val="center"/>
          </w:tcPr>
          <w:p>
            <w:pPr>
              <w:widowControl/>
              <w:jc w:val="center"/>
              <w:rPr>
                <w:rFonts w:ascii="宋体" w:hAnsi="宋体" w:eastAsia="宋体"/>
                <w:color w:val="000000"/>
                <w:kern w:val="0"/>
                <w:sz w:val="24"/>
              </w:rPr>
            </w:pPr>
            <w:r>
              <w:rPr>
                <w:rFonts w:hint="eastAsia" w:ascii="宋体" w:hAnsi="宋体" w:eastAsia="宋体" w:cs="Tahoma"/>
                <w:color w:val="000000"/>
                <w:kern w:val="0"/>
                <w:sz w:val="24"/>
              </w:rPr>
              <w:t>2</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ascii="宋体" w:hAnsi="宋体" w:eastAsia="宋体" w:cs="Tahoma"/>
                <w:color w:val="000000"/>
                <w:kern w:val="0"/>
                <w:sz w:val="24"/>
              </w:rPr>
            </w:pPr>
          </w:p>
        </w:tc>
        <w:tc>
          <w:tcPr>
            <w:tcW w:w="1667" w:type="dxa"/>
            <w:vAlign w:val="center"/>
          </w:tcPr>
          <w:p>
            <w:pPr>
              <w:widowControl/>
              <w:rPr>
                <w:rFonts w:ascii="宋体" w:hAnsi="宋体" w:eastAsia="宋体" w:cs="Tahoma"/>
                <w:bCs/>
                <w:color w:val="000000"/>
                <w:kern w:val="0"/>
                <w:sz w:val="24"/>
              </w:rPr>
            </w:pPr>
            <w:r>
              <w:rPr>
                <w:rFonts w:hint="eastAsia" w:ascii="宋体" w:hAnsi="宋体" w:eastAsia="宋体" w:cs="Tahoma"/>
                <w:bCs/>
                <w:color w:val="000000"/>
                <w:kern w:val="0"/>
                <w:sz w:val="24"/>
              </w:rPr>
              <w:t>计算机应用基础</w:t>
            </w:r>
          </w:p>
        </w:tc>
        <w:tc>
          <w:tcPr>
            <w:tcW w:w="5565" w:type="dxa"/>
            <w:vAlign w:val="center"/>
          </w:tcPr>
          <w:p>
            <w:pPr>
              <w:widowControl/>
              <w:rPr>
                <w:rFonts w:ascii="宋体" w:hAnsi="宋体" w:eastAsia="宋体" w:cs="Tahoma"/>
                <w:color w:val="000000"/>
                <w:kern w:val="0"/>
                <w:sz w:val="24"/>
              </w:rPr>
            </w:pPr>
            <w:r>
              <w:rPr>
                <w:rFonts w:hint="eastAsia" w:ascii="宋体" w:hAnsi="宋体" w:eastAsia="宋体" w:cs="Tahoma"/>
                <w:color w:val="000000"/>
                <w:kern w:val="0"/>
                <w:sz w:val="24"/>
              </w:rPr>
              <w:t>本课程是一门计算机知识的入门课程，内容着重计算机的基础知识、基本概念和基本操作技能，并兼顾实用软件的使用和计算机应用领域的前沿知识，为学生熟练使用计算机和进一步学习计算机有关知识打下基础。</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4</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ascii="宋体" w:hAnsi="宋体" w:eastAsia="宋体" w:cs="Tahoma"/>
                <w:color w:val="000000"/>
                <w:kern w:val="0"/>
                <w:sz w:val="24"/>
              </w:rPr>
            </w:pPr>
          </w:p>
        </w:tc>
        <w:tc>
          <w:tcPr>
            <w:tcW w:w="1667" w:type="dxa"/>
            <w:vAlign w:val="center"/>
          </w:tcPr>
          <w:p>
            <w:pPr>
              <w:widowControl/>
              <w:rPr>
                <w:rFonts w:ascii="宋体" w:hAnsi="宋体" w:eastAsia="宋体" w:cs="Tahoma"/>
                <w:color w:val="000000"/>
                <w:kern w:val="0"/>
                <w:sz w:val="24"/>
              </w:rPr>
            </w:pPr>
            <w:r>
              <w:rPr>
                <w:rFonts w:hint="eastAsia" w:ascii="宋体" w:hAnsi="宋体" w:eastAsia="宋体" w:cs="Tahoma"/>
                <w:color w:val="000000"/>
                <w:kern w:val="0"/>
                <w:sz w:val="24"/>
              </w:rPr>
              <w:t>经济数学基础</w:t>
            </w:r>
            <w:r>
              <w:rPr>
                <w:rFonts w:ascii="宋体" w:hAnsi="宋体" w:eastAsia="宋体"/>
                <w:color w:val="000000"/>
                <w:kern w:val="0"/>
                <w:sz w:val="24"/>
              </w:rPr>
              <w:t>12</w:t>
            </w:r>
          </w:p>
        </w:tc>
        <w:tc>
          <w:tcPr>
            <w:tcW w:w="5565" w:type="dxa"/>
            <w:vAlign w:val="center"/>
          </w:tcPr>
          <w:p>
            <w:pPr>
              <w:widowControl/>
              <w:rPr>
                <w:rFonts w:ascii="宋体" w:hAnsi="宋体" w:eastAsia="宋体" w:cs="Tahoma"/>
                <w:color w:val="000000"/>
                <w:kern w:val="0"/>
                <w:sz w:val="24"/>
              </w:rPr>
            </w:pPr>
            <w:r>
              <w:rPr>
                <w:rFonts w:hint="eastAsia" w:ascii="宋体" w:hAnsi="宋体" w:eastAsia="宋体" w:cs="Tahoma"/>
                <w:color w:val="000000"/>
                <w:kern w:val="0"/>
                <w:sz w:val="24"/>
              </w:rPr>
              <w:t>本课程主要掌握运用数学的方法解决生产管理中的实际问题，使企业生产运营管理更加优化的能力。主要课程内容有函数、极限、微积分初步、行列式、矩阵、n维向量、线性方程组、最优计划问题、线性规划的一般形式和标准形式、线性规划的图解法、用消去法求解线性规划问题、求解线性规划问题的单纯形法、线性规划的对偶问题、统筹方法和统筹图、画统筹图的注意事项、统筹图的计算、用破圈法寻找关键路线、统筹图的调整和优化、质量管理的随机抽样检查和直方图、管理图、库存管理（存贮模型）、设备更新（动态规划）、设备更新的最佳年限、人员管理（任务分派问题）、计算机在数学计算中应用等。</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5</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ascii="宋体" w:hAnsi="宋体" w:eastAsia="宋体" w:cs="Tahoma"/>
                <w:color w:val="000000"/>
                <w:kern w:val="0"/>
                <w:sz w:val="24"/>
              </w:rPr>
            </w:pPr>
          </w:p>
        </w:tc>
        <w:tc>
          <w:tcPr>
            <w:tcW w:w="1667" w:type="dxa"/>
            <w:vAlign w:val="center"/>
          </w:tcPr>
          <w:p>
            <w:pPr>
              <w:widowControl/>
              <w:rPr>
                <w:rFonts w:hint="eastAsia" w:ascii="宋体" w:hAnsi="宋体" w:eastAsia="宋体" w:cs="Tahoma"/>
                <w:color w:val="000000"/>
                <w:kern w:val="0"/>
                <w:sz w:val="24"/>
              </w:rPr>
            </w:pPr>
            <w:r>
              <w:rPr>
                <w:rFonts w:hint="eastAsia" w:ascii="宋体" w:hAnsi="宋体" w:eastAsia="宋体" w:cs="Tahoma"/>
                <w:bCs/>
                <w:color w:val="000000"/>
                <w:kern w:val="0"/>
                <w:sz w:val="24"/>
              </w:rPr>
              <w:t>统计学原理</w:t>
            </w:r>
          </w:p>
        </w:tc>
        <w:tc>
          <w:tcPr>
            <w:tcW w:w="5565" w:type="dxa"/>
            <w:vAlign w:val="center"/>
          </w:tcPr>
          <w:p>
            <w:pPr>
              <w:widowControl/>
              <w:rPr>
                <w:rFonts w:hint="eastAsia" w:ascii="宋体" w:hAnsi="宋体" w:eastAsia="宋体" w:cs="Tahoma"/>
                <w:color w:val="000000"/>
                <w:kern w:val="0"/>
                <w:sz w:val="24"/>
              </w:rPr>
            </w:pPr>
            <w:r>
              <w:rPr>
                <w:rFonts w:hint="eastAsia" w:ascii="宋体" w:hAnsi="宋体" w:eastAsia="宋体" w:cs="Tahoma"/>
                <w:bCs/>
                <w:color w:val="000000"/>
                <w:kern w:val="0"/>
                <w:sz w:val="24"/>
              </w:rPr>
              <w:t>本课程的主要内容：统计学的研究对象和方法、统计学的基本范畴，统计组织与管理，统计调查的意义和种类，统计调查方案，统计调查方法，统计整理的意义和内容，统计分组，统计分布，统计表，总量指标，相对指标，平均指标，变异指标，综合指标的应用，抽样，假设检验，回归分析，指数，因素分析，指数数列，动态数列，现象，统计综合分析等。</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4</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ascii="宋体" w:hAnsi="宋体" w:eastAsia="宋体" w:cs="Tahoma"/>
                <w:color w:val="000000"/>
                <w:kern w:val="0"/>
                <w:sz w:val="24"/>
              </w:rPr>
            </w:pPr>
          </w:p>
        </w:tc>
        <w:tc>
          <w:tcPr>
            <w:tcW w:w="1667" w:type="dxa"/>
            <w:vAlign w:val="center"/>
          </w:tcPr>
          <w:p>
            <w:pPr>
              <w:widowControl/>
              <w:rPr>
                <w:rFonts w:ascii="宋体" w:hAnsi="宋体" w:eastAsia="宋体" w:cs="Tahoma"/>
                <w:color w:val="000000"/>
                <w:kern w:val="0"/>
                <w:sz w:val="24"/>
              </w:rPr>
            </w:pPr>
            <w:r>
              <w:rPr>
                <w:rFonts w:hint="eastAsia" w:ascii="宋体" w:hAnsi="宋体" w:eastAsia="宋体" w:cs="Tahoma"/>
                <w:color w:val="000000"/>
                <w:kern w:val="0"/>
                <w:sz w:val="24"/>
              </w:rPr>
              <w:t>职业英语（专）</w:t>
            </w:r>
          </w:p>
        </w:tc>
        <w:tc>
          <w:tcPr>
            <w:tcW w:w="5565" w:type="dxa"/>
            <w:vAlign w:val="center"/>
          </w:tcPr>
          <w:p>
            <w:pPr>
              <w:widowControl/>
              <w:rPr>
                <w:rFonts w:ascii="宋体" w:hAnsi="宋体" w:eastAsia="宋体" w:cs="Tahoma"/>
                <w:color w:val="000000"/>
                <w:kern w:val="0"/>
                <w:sz w:val="24"/>
              </w:rPr>
            </w:pPr>
            <w:r>
              <w:rPr>
                <w:rFonts w:hint="eastAsia" w:ascii="宋体" w:hAnsi="宋体" w:eastAsia="宋体"/>
                <w:color w:val="000000"/>
                <w:sz w:val="24"/>
              </w:rPr>
              <w:t>专为职业英语实际应用而打造的能力提升课程，包含听说读写全面训练，提高英语应用能力。掌握3000词汇、10大主题、20个场景演练教学，满足工作日常交流和美国ETS托业桥考试认证标准要求。</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4</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restart"/>
            <w:vAlign w:val="center"/>
          </w:tcPr>
          <w:p>
            <w:pPr>
              <w:widowControl/>
              <w:rPr>
                <w:rFonts w:ascii="宋体" w:hAnsi="宋体" w:eastAsia="宋体" w:cs="Tahoma"/>
                <w:color w:val="000000"/>
                <w:kern w:val="0"/>
                <w:sz w:val="24"/>
              </w:rPr>
            </w:pPr>
            <w:r>
              <w:rPr>
                <w:rFonts w:hint="eastAsia" w:ascii="宋体" w:hAnsi="宋体" w:eastAsia="宋体" w:cs="Tahoma"/>
                <w:color w:val="000000"/>
                <w:kern w:val="0"/>
                <w:sz w:val="24"/>
              </w:rPr>
              <w:t>专业基础课</w:t>
            </w:r>
          </w:p>
        </w:tc>
        <w:tc>
          <w:tcPr>
            <w:tcW w:w="1667" w:type="dxa"/>
            <w:vAlign w:val="center"/>
          </w:tcPr>
          <w:p>
            <w:pPr>
              <w:widowControl/>
              <w:rPr>
                <w:rFonts w:ascii="宋体" w:hAnsi="宋体" w:eastAsia="宋体" w:cs="Tahoma"/>
                <w:bCs/>
                <w:color w:val="000000"/>
                <w:kern w:val="0"/>
                <w:sz w:val="24"/>
              </w:rPr>
            </w:pPr>
            <w:r>
              <w:rPr>
                <w:rFonts w:hint="eastAsia" w:ascii="宋体" w:hAnsi="宋体" w:eastAsia="宋体" w:cs="Tahoma"/>
                <w:bCs/>
                <w:color w:val="000000"/>
                <w:kern w:val="0"/>
                <w:sz w:val="24"/>
              </w:rPr>
              <w:t>管理学基础</w:t>
            </w:r>
          </w:p>
        </w:tc>
        <w:tc>
          <w:tcPr>
            <w:tcW w:w="5565" w:type="dxa"/>
            <w:vAlign w:val="center"/>
          </w:tcPr>
          <w:p>
            <w:pPr>
              <w:widowControl/>
              <w:rPr>
                <w:rFonts w:ascii="宋体" w:hAnsi="宋体" w:eastAsia="宋体" w:cs="Tahoma"/>
                <w:bCs/>
                <w:color w:val="000000"/>
                <w:kern w:val="0"/>
                <w:sz w:val="24"/>
              </w:rPr>
            </w:pPr>
            <w:r>
              <w:rPr>
                <w:rFonts w:hint="eastAsia" w:ascii="宋体" w:hAnsi="宋体" w:eastAsia="宋体" w:cs="Tahoma"/>
                <w:bCs/>
                <w:color w:val="000000"/>
                <w:kern w:val="0"/>
                <w:sz w:val="24"/>
              </w:rPr>
              <w:t>掌握现代管理的基本理论，基本方法，确立科学的管理理念。本课程的主要内容：管理理论的形成与发展；管理与环境的关系；管理的基本职能等</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4</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hint="eastAsia" w:ascii="宋体" w:hAnsi="宋体" w:eastAsia="宋体" w:cs="Tahoma"/>
                <w:color w:val="000000"/>
                <w:kern w:val="0"/>
                <w:sz w:val="24"/>
              </w:rPr>
            </w:pPr>
          </w:p>
        </w:tc>
        <w:tc>
          <w:tcPr>
            <w:tcW w:w="1667"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通用管理实务</w:t>
            </w:r>
          </w:p>
        </w:tc>
        <w:tc>
          <w:tcPr>
            <w:tcW w:w="5565"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提升时间管理、沟通管理、人员管理、员工培训教育、冲突管理、提升执行力等能力</w:t>
            </w:r>
            <w:r>
              <w:rPr>
                <w:rFonts w:hint="eastAsia" w:ascii="宋体" w:hAnsi="宋体" w:cs="Tahoma"/>
                <w:bCs/>
                <w:color w:val="000000"/>
                <w:kern w:val="0"/>
                <w:sz w:val="24"/>
                <w:lang w:eastAsia="zh-CN"/>
              </w:rPr>
              <w:t>。</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3</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hint="eastAsia" w:ascii="宋体" w:hAnsi="宋体" w:eastAsia="宋体" w:cs="Tahoma"/>
                <w:color w:val="000000"/>
                <w:kern w:val="0"/>
                <w:sz w:val="24"/>
              </w:rPr>
            </w:pPr>
          </w:p>
        </w:tc>
        <w:tc>
          <w:tcPr>
            <w:tcW w:w="1667"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人力资源管理</w:t>
            </w:r>
          </w:p>
        </w:tc>
        <w:tc>
          <w:tcPr>
            <w:tcW w:w="5565"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本课程主要从企业管理角度介绍人力资源管理的主要业务知识。主要内容有十章：企业人力资源管理概论，激励，管理中的信任、责任与沟通，工作分析，招募录用，培训，绩效管理，薪酬管理，劳动关系管理和职业生涯管理。本书作为企业行政管理专业核心必修课的教材，主要给学习者提供企业人力资源管理的基本理论、基础知识、管理方法与技巧。</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4</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hint="eastAsia" w:ascii="宋体" w:hAnsi="宋体" w:eastAsia="宋体" w:cs="Tahoma"/>
                <w:color w:val="000000"/>
                <w:kern w:val="0"/>
                <w:sz w:val="24"/>
              </w:rPr>
            </w:pPr>
          </w:p>
        </w:tc>
        <w:tc>
          <w:tcPr>
            <w:tcW w:w="1667"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市场营销学</w:t>
            </w:r>
          </w:p>
        </w:tc>
        <w:tc>
          <w:tcPr>
            <w:tcW w:w="5565"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市场营销概述，市场营销环境，营销策划与团队建设等内容</w:t>
            </w:r>
            <w:r>
              <w:rPr>
                <w:rFonts w:hint="eastAsia" w:ascii="宋体" w:hAnsi="宋体" w:cs="Tahoma"/>
                <w:bCs/>
                <w:color w:val="000000"/>
                <w:kern w:val="0"/>
                <w:sz w:val="24"/>
                <w:lang w:eastAsia="zh-CN"/>
              </w:rPr>
              <w:t>。</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4</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ascii="宋体" w:hAnsi="宋体" w:eastAsia="宋体" w:cs="Tahoma"/>
                <w:color w:val="000000"/>
                <w:kern w:val="0"/>
                <w:sz w:val="24"/>
              </w:rPr>
            </w:pPr>
          </w:p>
        </w:tc>
        <w:tc>
          <w:tcPr>
            <w:tcW w:w="1667" w:type="dxa"/>
            <w:vAlign w:val="center"/>
          </w:tcPr>
          <w:p>
            <w:pPr>
              <w:widowControl/>
              <w:rPr>
                <w:rFonts w:ascii="宋体" w:hAnsi="宋体" w:eastAsia="宋体" w:cs="Tahoma"/>
                <w:bCs/>
                <w:color w:val="000000"/>
                <w:kern w:val="0"/>
                <w:sz w:val="24"/>
              </w:rPr>
            </w:pPr>
            <w:r>
              <w:rPr>
                <w:rFonts w:hint="eastAsia" w:ascii="宋体" w:hAnsi="宋体" w:eastAsia="宋体" w:cs="Tahoma"/>
                <w:bCs/>
                <w:color w:val="000000"/>
                <w:kern w:val="0"/>
                <w:sz w:val="24"/>
              </w:rPr>
              <w:t>基础会计</w:t>
            </w:r>
          </w:p>
        </w:tc>
        <w:tc>
          <w:tcPr>
            <w:tcW w:w="5565" w:type="dxa"/>
            <w:vAlign w:val="center"/>
          </w:tcPr>
          <w:p>
            <w:pPr>
              <w:widowControl/>
              <w:rPr>
                <w:rFonts w:ascii="宋体" w:hAnsi="宋体" w:eastAsia="宋体" w:cs="Tahoma"/>
                <w:bCs/>
                <w:color w:val="000000"/>
                <w:kern w:val="0"/>
                <w:sz w:val="24"/>
              </w:rPr>
            </w:pPr>
            <w:r>
              <w:rPr>
                <w:rFonts w:hint="eastAsia" w:ascii="宋体" w:hAnsi="宋体" w:eastAsia="宋体" w:cs="Tahoma"/>
                <w:bCs/>
                <w:color w:val="000000"/>
                <w:kern w:val="0"/>
                <w:sz w:val="24"/>
              </w:rPr>
              <w:t>会计的基础知识；会计科目与账户；记账原理；会计确认与计量、资产、费用、成本、收入、利润、负债、所有者权益的确认与计量；会计凭证；会计账簿；财产清查；会计报表；会计循环、记账凭证核算形式；会计规范体系等。</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4</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ascii="宋体" w:hAnsi="宋体" w:eastAsia="宋体" w:cs="Tahoma"/>
                <w:color w:val="000000"/>
                <w:kern w:val="0"/>
                <w:sz w:val="24"/>
              </w:rPr>
            </w:pPr>
          </w:p>
        </w:tc>
        <w:tc>
          <w:tcPr>
            <w:tcW w:w="1667" w:type="dxa"/>
            <w:vAlign w:val="center"/>
          </w:tcPr>
          <w:p>
            <w:pPr>
              <w:widowControl/>
              <w:rPr>
                <w:rFonts w:ascii="宋体" w:hAnsi="宋体" w:eastAsia="宋体" w:cs="Tahoma"/>
                <w:bCs/>
                <w:color w:val="000000"/>
                <w:kern w:val="0"/>
                <w:sz w:val="24"/>
              </w:rPr>
            </w:pPr>
            <w:r>
              <w:rPr>
                <w:rFonts w:hint="eastAsia" w:ascii="宋体" w:hAnsi="宋体" w:eastAsia="宋体" w:cs="Tahoma"/>
                <w:bCs/>
                <w:color w:val="000000"/>
                <w:kern w:val="0"/>
                <w:sz w:val="24"/>
              </w:rPr>
              <w:t>生产与运作管理</w:t>
            </w:r>
          </w:p>
        </w:tc>
        <w:tc>
          <w:tcPr>
            <w:tcW w:w="5565" w:type="dxa"/>
            <w:vAlign w:val="center"/>
          </w:tcPr>
          <w:p>
            <w:pPr>
              <w:widowControl/>
              <w:rPr>
                <w:rFonts w:ascii="宋体" w:hAnsi="宋体" w:eastAsia="宋体" w:cs="Tahoma"/>
                <w:bCs/>
                <w:color w:val="000000"/>
                <w:kern w:val="0"/>
                <w:sz w:val="24"/>
              </w:rPr>
            </w:pPr>
            <w:r>
              <w:rPr>
                <w:rFonts w:hint="eastAsia" w:ascii="宋体" w:hAnsi="宋体" w:eastAsia="宋体" w:cs="Tahoma"/>
                <w:bCs/>
                <w:color w:val="000000"/>
                <w:kern w:val="0"/>
                <w:sz w:val="24"/>
              </w:rPr>
              <w:t>生产与运作管理的体系、目标和任务，生产与运作系统的选择与建设等</w:t>
            </w:r>
            <w:r>
              <w:rPr>
                <w:rFonts w:hint="eastAsia" w:ascii="宋体" w:hAnsi="宋体" w:cs="Tahoma"/>
                <w:bCs/>
                <w:color w:val="000000"/>
                <w:kern w:val="0"/>
                <w:sz w:val="24"/>
                <w:lang w:eastAsia="zh-CN"/>
              </w:rPr>
              <w:t>。</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3</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ascii="宋体" w:hAnsi="宋体" w:eastAsia="宋体" w:cs="Tahoma"/>
                <w:color w:val="000000"/>
                <w:kern w:val="0"/>
                <w:sz w:val="24"/>
              </w:rPr>
            </w:pPr>
          </w:p>
        </w:tc>
        <w:tc>
          <w:tcPr>
            <w:tcW w:w="1667" w:type="dxa"/>
            <w:vAlign w:val="center"/>
          </w:tcPr>
          <w:p>
            <w:pPr>
              <w:widowControl/>
              <w:rPr>
                <w:rFonts w:ascii="宋体" w:hAnsi="宋体" w:eastAsia="宋体" w:cs="Tahoma"/>
                <w:bCs/>
                <w:color w:val="000000"/>
                <w:kern w:val="0"/>
                <w:sz w:val="24"/>
              </w:rPr>
            </w:pPr>
            <w:r>
              <w:rPr>
                <w:rFonts w:hint="eastAsia" w:ascii="宋体" w:hAnsi="宋体" w:eastAsia="宋体" w:cs="Tahoma"/>
                <w:bCs/>
                <w:color w:val="000000"/>
                <w:kern w:val="0"/>
                <w:sz w:val="24"/>
              </w:rPr>
              <w:t>企业现场管理基础</w:t>
            </w:r>
          </w:p>
        </w:tc>
        <w:tc>
          <w:tcPr>
            <w:tcW w:w="5565" w:type="dxa"/>
            <w:vAlign w:val="center"/>
          </w:tcPr>
          <w:p>
            <w:pPr>
              <w:widowControl/>
              <w:rPr>
                <w:rFonts w:ascii="宋体" w:hAnsi="宋体" w:eastAsia="宋体" w:cs="Tahoma"/>
                <w:bCs/>
                <w:color w:val="000000"/>
                <w:kern w:val="0"/>
                <w:sz w:val="24"/>
              </w:rPr>
            </w:pPr>
            <w:r>
              <w:rPr>
                <w:rFonts w:hint="eastAsia" w:ascii="宋体" w:hAnsi="宋体" w:eastAsia="宋体" w:cs="Tahoma"/>
                <w:bCs/>
                <w:color w:val="000000"/>
                <w:kern w:val="0"/>
                <w:sz w:val="24"/>
              </w:rPr>
              <w:t>企业生产运营管理人员角.色认知，如何开展高效一天企业生产运营管理工作，现场人员管理、设备管理、安全管理等</w:t>
            </w:r>
            <w:r>
              <w:rPr>
                <w:rFonts w:hint="eastAsia" w:ascii="宋体" w:hAnsi="宋体" w:cs="Tahoma"/>
                <w:bCs/>
                <w:color w:val="000000"/>
                <w:kern w:val="0"/>
                <w:sz w:val="24"/>
                <w:lang w:eastAsia="zh-CN"/>
              </w:rPr>
              <w:t>。</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4</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restart"/>
            <w:vAlign w:val="center"/>
          </w:tcPr>
          <w:p>
            <w:pPr>
              <w:widowControl/>
              <w:rPr>
                <w:rFonts w:ascii="宋体" w:hAnsi="宋体" w:eastAsia="宋体" w:cs="Tahoma"/>
                <w:color w:val="000000"/>
                <w:kern w:val="0"/>
                <w:sz w:val="24"/>
              </w:rPr>
            </w:pPr>
            <w:r>
              <w:rPr>
                <w:rFonts w:hint="eastAsia" w:ascii="宋体" w:hAnsi="宋体" w:eastAsia="宋体" w:cs="Tahoma"/>
                <w:color w:val="000000"/>
                <w:kern w:val="0"/>
                <w:sz w:val="24"/>
              </w:rPr>
              <w:t>专业核心课</w:t>
            </w:r>
          </w:p>
        </w:tc>
        <w:tc>
          <w:tcPr>
            <w:tcW w:w="1667" w:type="dxa"/>
            <w:vAlign w:val="center"/>
          </w:tcPr>
          <w:p>
            <w:pPr>
              <w:widowControl/>
              <w:rPr>
                <w:rFonts w:ascii="宋体" w:hAnsi="宋体" w:eastAsia="宋体" w:cs="Tahoma"/>
                <w:bCs/>
                <w:color w:val="000000"/>
                <w:kern w:val="0"/>
                <w:sz w:val="24"/>
                <w:highlight w:val="none"/>
              </w:rPr>
            </w:pPr>
            <w:r>
              <w:rPr>
                <w:rFonts w:hint="eastAsia" w:ascii="宋体" w:hAnsi="宋体" w:eastAsia="宋体" w:cs="Tahoma"/>
                <w:bCs/>
                <w:color w:val="000000"/>
                <w:kern w:val="0"/>
                <w:sz w:val="24"/>
                <w:highlight w:val="none"/>
              </w:rPr>
              <w:t>企业现场</w:t>
            </w:r>
            <w:r>
              <w:rPr>
                <w:rFonts w:hint="eastAsia" w:ascii="宋体" w:hAnsi="宋体" w:cs="Tahoma"/>
                <w:bCs/>
                <w:color w:val="000000"/>
                <w:kern w:val="0"/>
                <w:sz w:val="24"/>
                <w:highlight w:val="none"/>
                <w:lang w:eastAsia="zh-CN"/>
              </w:rPr>
              <w:t>质量</w:t>
            </w:r>
            <w:r>
              <w:rPr>
                <w:rFonts w:hint="eastAsia" w:ascii="宋体" w:hAnsi="宋体" w:eastAsia="宋体" w:cs="Tahoma"/>
                <w:bCs/>
                <w:color w:val="000000"/>
                <w:kern w:val="0"/>
                <w:sz w:val="24"/>
                <w:highlight w:val="none"/>
              </w:rPr>
              <w:t>管理</w:t>
            </w:r>
          </w:p>
        </w:tc>
        <w:tc>
          <w:tcPr>
            <w:tcW w:w="5565" w:type="dxa"/>
            <w:vAlign w:val="center"/>
          </w:tcPr>
          <w:p>
            <w:pPr>
              <w:widowControl/>
              <w:rPr>
                <w:rFonts w:ascii="宋体" w:hAnsi="宋体" w:eastAsia="宋体" w:cs="Tahoma"/>
                <w:bCs/>
                <w:color w:val="000000"/>
                <w:kern w:val="0"/>
                <w:sz w:val="24"/>
                <w:highlight w:val="none"/>
              </w:rPr>
            </w:pPr>
            <w:r>
              <w:rPr>
                <w:rFonts w:hint="eastAsia" w:ascii="宋体" w:hAnsi="宋体" w:eastAsia="宋体" w:cs="Tahoma"/>
                <w:bCs/>
                <w:color w:val="000000"/>
                <w:kern w:val="0"/>
                <w:sz w:val="24"/>
                <w:highlight w:val="none"/>
              </w:rPr>
              <w:t>学习质量管理基础、掌握质量管理工具、懂得开展QC小组活动、掌握降本增效工具，实现现场降本增效</w:t>
            </w:r>
            <w:r>
              <w:rPr>
                <w:rFonts w:hint="eastAsia" w:ascii="宋体" w:hAnsi="宋体" w:cs="Tahoma"/>
                <w:bCs/>
                <w:color w:val="000000"/>
                <w:kern w:val="0"/>
                <w:sz w:val="24"/>
                <w:highlight w:val="none"/>
                <w:lang w:eastAsia="zh-CN"/>
              </w:rPr>
              <w:t>。</w:t>
            </w:r>
          </w:p>
        </w:tc>
        <w:tc>
          <w:tcPr>
            <w:tcW w:w="456" w:type="dxa"/>
            <w:vAlign w:val="center"/>
          </w:tcPr>
          <w:p>
            <w:pPr>
              <w:widowControl/>
              <w:jc w:val="center"/>
              <w:rPr>
                <w:rFonts w:hint="eastAsia" w:ascii="宋体" w:hAnsi="宋体" w:eastAsia="宋体"/>
                <w:color w:val="000000"/>
                <w:kern w:val="0"/>
                <w:sz w:val="24"/>
                <w:highlight w:val="none"/>
                <w:lang w:eastAsia="zh-CN"/>
              </w:rPr>
            </w:pPr>
            <w:r>
              <w:rPr>
                <w:rFonts w:hint="eastAsia" w:ascii="宋体" w:hAnsi="宋体"/>
                <w:color w:val="000000"/>
                <w:kern w:val="0"/>
                <w:sz w:val="24"/>
                <w:highlight w:val="none"/>
                <w:lang w:val="en-US" w:eastAsia="zh-CN"/>
              </w:rPr>
              <w:t>4</w:t>
            </w:r>
          </w:p>
        </w:tc>
        <w:tc>
          <w:tcPr>
            <w:tcW w:w="612" w:type="dxa"/>
            <w:vAlign w:val="center"/>
          </w:tcPr>
          <w:p>
            <w:pPr>
              <w:widowControl/>
              <w:jc w:val="center"/>
              <w:rPr>
                <w:rFonts w:hint="eastAsia" w:ascii="宋体" w:hAnsi="宋体" w:eastAsia="宋体"/>
                <w:color w:val="000000"/>
                <w:kern w:val="0"/>
                <w:sz w:val="24"/>
                <w:highlight w:val="none"/>
                <w:lang w:eastAsia="zh-CN"/>
              </w:rPr>
            </w:pPr>
            <w:r>
              <w:rPr>
                <w:rFonts w:hint="eastAsia" w:ascii="宋体" w:hAnsi="宋体"/>
                <w:color w:val="000000"/>
                <w:kern w:val="0"/>
                <w:sz w:val="24"/>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hint="eastAsia" w:ascii="宋体" w:hAnsi="宋体" w:eastAsia="宋体" w:cs="Tahoma"/>
                <w:color w:val="000000"/>
                <w:kern w:val="0"/>
                <w:sz w:val="24"/>
              </w:rPr>
            </w:pPr>
          </w:p>
        </w:tc>
        <w:tc>
          <w:tcPr>
            <w:tcW w:w="1667" w:type="dxa"/>
            <w:vAlign w:val="center"/>
          </w:tcPr>
          <w:p>
            <w:pPr>
              <w:widowControl/>
              <w:rPr>
                <w:rFonts w:hint="eastAsia" w:ascii="宋体" w:hAnsi="宋体" w:eastAsia="宋体" w:cs="Tahoma"/>
                <w:bCs/>
                <w:color w:val="000000"/>
                <w:kern w:val="0"/>
                <w:sz w:val="24"/>
                <w:highlight w:val="none"/>
                <w:lang w:eastAsia="zh-CN"/>
              </w:rPr>
            </w:pPr>
            <w:r>
              <w:rPr>
                <w:rFonts w:hint="eastAsia" w:ascii="宋体" w:hAnsi="宋体" w:cs="Tahoma"/>
                <w:bCs/>
                <w:color w:val="000000"/>
                <w:kern w:val="0"/>
                <w:sz w:val="24"/>
                <w:highlight w:val="none"/>
                <w:lang w:eastAsia="zh-CN"/>
              </w:rPr>
              <w:t>企业生产成本管理</w:t>
            </w:r>
          </w:p>
        </w:tc>
        <w:tc>
          <w:tcPr>
            <w:tcW w:w="5565" w:type="dxa"/>
            <w:vAlign w:val="center"/>
          </w:tcPr>
          <w:p>
            <w:pPr>
              <w:widowControl/>
              <w:rPr>
                <w:rFonts w:hint="eastAsia" w:ascii="宋体" w:hAnsi="宋体" w:eastAsia="宋体" w:cs="Tahoma"/>
                <w:bCs/>
                <w:color w:val="000000"/>
                <w:kern w:val="0"/>
                <w:sz w:val="24"/>
                <w:highlight w:val="none"/>
                <w:lang w:eastAsia="zh-CN"/>
              </w:rPr>
            </w:pPr>
            <w:r>
              <w:rPr>
                <w:rFonts w:hint="eastAsia" w:ascii="宋体" w:hAnsi="宋体" w:cs="Tahoma"/>
                <w:bCs/>
                <w:color w:val="000000"/>
                <w:kern w:val="0"/>
                <w:sz w:val="24"/>
                <w:highlight w:val="none"/>
                <w:lang w:eastAsia="zh-CN"/>
              </w:rPr>
              <w:t>学习成本管理及其构成、掌握成本管理办法，学会成本核算</w:t>
            </w:r>
          </w:p>
        </w:tc>
        <w:tc>
          <w:tcPr>
            <w:tcW w:w="456" w:type="dxa"/>
            <w:vAlign w:val="center"/>
          </w:tcPr>
          <w:p>
            <w:pPr>
              <w:widowControl/>
              <w:jc w:val="center"/>
              <w:rPr>
                <w:rFonts w:hint="eastAsia" w:ascii="宋体" w:hAnsi="宋体" w:eastAsia="宋体"/>
                <w:color w:val="000000"/>
                <w:kern w:val="0"/>
                <w:sz w:val="24"/>
                <w:highlight w:val="none"/>
                <w:lang w:eastAsia="zh-CN"/>
              </w:rPr>
            </w:pPr>
            <w:r>
              <w:rPr>
                <w:rFonts w:hint="eastAsia" w:ascii="宋体" w:hAnsi="宋体"/>
                <w:color w:val="000000"/>
                <w:kern w:val="0"/>
                <w:sz w:val="24"/>
                <w:highlight w:val="none"/>
                <w:lang w:val="en-US" w:eastAsia="zh-CN"/>
              </w:rPr>
              <w:t>4</w:t>
            </w:r>
          </w:p>
        </w:tc>
        <w:tc>
          <w:tcPr>
            <w:tcW w:w="612" w:type="dxa"/>
            <w:vAlign w:val="center"/>
          </w:tcPr>
          <w:p>
            <w:pPr>
              <w:widowControl/>
              <w:jc w:val="center"/>
              <w:rPr>
                <w:rFonts w:hint="eastAsia" w:ascii="宋体" w:hAnsi="宋体" w:eastAsia="宋体"/>
                <w:color w:val="000000"/>
                <w:kern w:val="0"/>
                <w:sz w:val="24"/>
                <w:highlight w:val="none"/>
                <w:lang w:val="en-US" w:eastAsia="zh-CN"/>
              </w:rPr>
            </w:pPr>
            <w:r>
              <w:rPr>
                <w:rFonts w:hint="eastAsia" w:ascii="宋体" w:hAnsi="宋体"/>
                <w:color w:val="000000"/>
                <w:kern w:val="0"/>
                <w:sz w:val="24"/>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hint="eastAsia" w:ascii="宋体" w:hAnsi="宋体" w:eastAsia="宋体" w:cs="Tahoma"/>
                <w:color w:val="000000"/>
                <w:kern w:val="0"/>
                <w:sz w:val="24"/>
              </w:rPr>
            </w:pPr>
          </w:p>
        </w:tc>
        <w:tc>
          <w:tcPr>
            <w:tcW w:w="1667"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精益生产</w:t>
            </w:r>
          </w:p>
        </w:tc>
        <w:tc>
          <w:tcPr>
            <w:tcW w:w="5565"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生产计划与生产流程、生产系统、生产指标、生产线平衡、目视化管理、企业生产运营管理浪费与消除等内容</w:t>
            </w:r>
            <w:r>
              <w:rPr>
                <w:rFonts w:hint="eastAsia" w:ascii="宋体" w:hAnsi="宋体" w:cs="Tahoma"/>
                <w:bCs/>
                <w:color w:val="000000"/>
                <w:kern w:val="0"/>
                <w:sz w:val="24"/>
                <w:lang w:eastAsia="zh-CN"/>
              </w:rPr>
              <w:t>。</w:t>
            </w:r>
          </w:p>
        </w:tc>
        <w:tc>
          <w:tcPr>
            <w:tcW w:w="456" w:type="dxa"/>
            <w:vAlign w:val="center"/>
          </w:tcPr>
          <w:p>
            <w:pPr>
              <w:widowControl/>
              <w:jc w:val="center"/>
              <w:rPr>
                <w:rFonts w:hint="eastAsia" w:ascii="宋体" w:hAnsi="宋体" w:eastAsia="宋体"/>
                <w:color w:val="000000"/>
                <w:kern w:val="0"/>
                <w:sz w:val="24"/>
                <w:lang w:eastAsia="zh-CN"/>
              </w:rPr>
            </w:pPr>
            <w:r>
              <w:rPr>
                <w:rFonts w:hint="eastAsia" w:ascii="宋体" w:hAnsi="宋体"/>
                <w:color w:val="000000"/>
                <w:kern w:val="0"/>
                <w:sz w:val="24"/>
                <w:lang w:val="en-US" w:eastAsia="zh-CN"/>
              </w:rPr>
              <w:t>4</w:t>
            </w:r>
          </w:p>
        </w:tc>
        <w:tc>
          <w:tcPr>
            <w:tcW w:w="612" w:type="dxa"/>
            <w:vAlign w:val="center"/>
          </w:tcPr>
          <w:p>
            <w:pPr>
              <w:widowControl/>
              <w:jc w:val="center"/>
              <w:rPr>
                <w:rFonts w:hint="eastAsia" w:ascii="宋体" w:hAnsi="宋体" w:eastAsia="宋体"/>
                <w:color w:val="000000"/>
                <w:kern w:val="0"/>
                <w:sz w:val="24"/>
                <w:lang w:eastAsia="zh-CN"/>
              </w:rPr>
            </w:pPr>
            <w:r>
              <w:rPr>
                <w:rFonts w:hint="eastAsia" w:ascii="宋体" w:hAnsi="宋体"/>
                <w:color w:val="000000"/>
                <w:kern w:val="0"/>
                <w:sz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hint="eastAsia" w:ascii="宋体" w:hAnsi="宋体" w:eastAsia="宋体" w:cs="Tahoma"/>
                <w:color w:val="000000"/>
                <w:kern w:val="0"/>
                <w:sz w:val="24"/>
              </w:rPr>
            </w:pPr>
          </w:p>
        </w:tc>
        <w:tc>
          <w:tcPr>
            <w:tcW w:w="1667"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企业现场改善实务</w:t>
            </w:r>
          </w:p>
        </w:tc>
        <w:tc>
          <w:tcPr>
            <w:tcW w:w="5565"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辨识现场问题、推行5S企业生产运营管理、推行定置与目视化管理，建立并执行标准化作业管理，开展物料与库存管理等能力</w:t>
            </w:r>
            <w:r>
              <w:rPr>
                <w:rFonts w:hint="eastAsia" w:ascii="宋体" w:hAnsi="宋体" w:cs="Tahoma"/>
                <w:bCs/>
                <w:color w:val="000000"/>
                <w:kern w:val="0"/>
                <w:sz w:val="24"/>
                <w:lang w:eastAsia="zh-CN"/>
              </w:rPr>
              <w:t>。</w:t>
            </w:r>
          </w:p>
        </w:tc>
        <w:tc>
          <w:tcPr>
            <w:tcW w:w="456" w:type="dxa"/>
            <w:vAlign w:val="center"/>
          </w:tcPr>
          <w:p>
            <w:pPr>
              <w:widowControl/>
              <w:jc w:val="center"/>
              <w:rPr>
                <w:rFonts w:hint="eastAsia" w:ascii="宋体" w:hAnsi="宋体" w:eastAsia="宋体"/>
                <w:color w:val="000000"/>
                <w:kern w:val="0"/>
                <w:sz w:val="24"/>
                <w:lang w:eastAsia="zh-CN"/>
              </w:rPr>
            </w:pPr>
            <w:r>
              <w:rPr>
                <w:rFonts w:hint="eastAsia" w:ascii="宋体" w:hAnsi="宋体"/>
                <w:color w:val="000000"/>
                <w:kern w:val="0"/>
                <w:sz w:val="24"/>
                <w:lang w:val="en-US" w:eastAsia="zh-CN"/>
              </w:rPr>
              <w:t>5</w:t>
            </w:r>
          </w:p>
        </w:tc>
        <w:tc>
          <w:tcPr>
            <w:tcW w:w="612" w:type="dxa"/>
            <w:vAlign w:val="center"/>
          </w:tcPr>
          <w:p>
            <w:pPr>
              <w:widowControl/>
              <w:jc w:val="center"/>
              <w:rPr>
                <w:rFonts w:hint="eastAsia" w:ascii="宋体" w:hAnsi="宋体" w:eastAsia="宋体"/>
                <w:color w:val="000000"/>
                <w:kern w:val="0"/>
                <w:sz w:val="24"/>
                <w:lang w:eastAsia="zh-CN"/>
              </w:rPr>
            </w:pPr>
            <w:r>
              <w:rPr>
                <w:rFonts w:hint="eastAsia" w:ascii="宋体" w:hAnsi="宋体"/>
                <w:color w:val="000000"/>
                <w:kern w:val="0"/>
                <w:sz w:val="24"/>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hint="eastAsia" w:ascii="宋体" w:hAnsi="宋体" w:eastAsia="宋体" w:cs="Tahoma"/>
                <w:color w:val="000000"/>
                <w:kern w:val="0"/>
                <w:sz w:val="24"/>
              </w:rPr>
            </w:pPr>
          </w:p>
        </w:tc>
        <w:tc>
          <w:tcPr>
            <w:tcW w:w="1667" w:type="dxa"/>
            <w:vAlign w:val="center"/>
          </w:tcPr>
          <w:p>
            <w:pPr>
              <w:widowControl/>
              <w:rPr>
                <w:rFonts w:hint="eastAsia" w:ascii="宋体" w:hAnsi="宋体" w:eastAsia="宋体" w:cs="Tahoma"/>
                <w:bCs/>
                <w:color w:val="000000"/>
                <w:kern w:val="0"/>
                <w:sz w:val="24"/>
                <w:highlight w:val="none"/>
                <w:lang w:eastAsia="zh-CN"/>
              </w:rPr>
            </w:pPr>
            <w:r>
              <w:rPr>
                <w:rFonts w:hint="eastAsia" w:ascii="宋体" w:hAnsi="宋体" w:cs="Tahoma"/>
                <w:bCs/>
                <w:color w:val="000000"/>
                <w:kern w:val="0"/>
                <w:sz w:val="24"/>
                <w:highlight w:val="none"/>
                <w:lang w:eastAsia="zh-CN"/>
              </w:rPr>
              <w:t>供应链管理</w:t>
            </w:r>
          </w:p>
        </w:tc>
        <w:tc>
          <w:tcPr>
            <w:tcW w:w="5565" w:type="dxa"/>
            <w:vAlign w:val="center"/>
          </w:tcPr>
          <w:p>
            <w:pPr>
              <w:widowControl/>
              <w:rPr>
                <w:rFonts w:hint="eastAsia" w:ascii="宋体" w:hAnsi="宋体" w:eastAsia="宋体" w:cs="Tahoma"/>
                <w:bCs/>
                <w:color w:val="000000"/>
                <w:kern w:val="0"/>
                <w:sz w:val="24"/>
                <w:highlight w:val="none"/>
                <w:lang w:eastAsia="zh-CN"/>
              </w:rPr>
            </w:pPr>
            <w:r>
              <w:rPr>
                <w:rFonts w:hint="eastAsia" w:ascii="宋体" w:hAnsi="宋体" w:cs="Tahoma"/>
                <w:bCs/>
                <w:color w:val="000000"/>
                <w:kern w:val="0"/>
                <w:sz w:val="24"/>
                <w:highlight w:val="none"/>
                <w:lang w:eastAsia="zh-CN"/>
              </w:rPr>
              <w:t>通过本课程的学习，学生可以深刻理解供应链的内涵，掌握物流与供应链管理的基本方法。主要在介绍供应链概念的基础上，重点分析供应链的绩效评价、供应链的关键要素、供应链的供给与需求分析、供应链规划与管理的基本方法以及物流在供应链管理中的地位和作用</w:t>
            </w:r>
          </w:p>
        </w:tc>
        <w:tc>
          <w:tcPr>
            <w:tcW w:w="456" w:type="dxa"/>
            <w:vAlign w:val="center"/>
          </w:tcPr>
          <w:p>
            <w:pPr>
              <w:widowControl/>
              <w:jc w:val="center"/>
              <w:rPr>
                <w:rFonts w:hint="eastAsia" w:ascii="宋体" w:hAnsi="宋体" w:eastAsia="宋体"/>
                <w:color w:val="000000"/>
                <w:kern w:val="0"/>
                <w:sz w:val="24"/>
                <w:highlight w:val="none"/>
                <w:lang w:val="en-US" w:eastAsia="zh-CN"/>
              </w:rPr>
            </w:pPr>
            <w:r>
              <w:rPr>
                <w:rFonts w:hint="eastAsia" w:ascii="宋体" w:hAnsi="宋体"/>
                <w:color w:val="000000"/>
                <w:kern w:val="0"/>
                <w:sz w:val="24"/>
                <w:highlight w:val="none"/>
                <w:lang w:val="en-US" w:eastAsia="zh-CN"/>
              </w:rPr>
              <w:t>5</w:t>
            </w:r>
          </w:p>
        </w:tc>
        <w:tc>
          <w:tcPr>
            <w:tcW w:w="612" w:type="dxa"/>
            <w:vAlign w:val="center"/>
          </w:tcPr>
          <w:p>
            <w:pPr>
              <w:widowControl/>
              <w:jc w:val="center"/>
              <w:rPr>
                <w:rFonts w:hint="eastAsia" w:ascii="宋体" w:hAnsi="宋体" w:eastAsia="宋体"/>
                <w:color w:val="000000"/>
                <w:kern w:val="0"/>
                <w:sz w:val="24"/>
                <w:highlight w:val="none"/>
                <w:lang w:val="en-US" w:eastAsia="zh-CN"/>
              </w:rPr>
            </w:pPr>
            <w:r>
              <w:rPr>
                <w:rFonts w:hint="eastAsia" w:ascii="宋体" w:hAnsi="宋体"/>
                <w:color w:val="000000"/>
                <w:kern w:val="0"/>
                <w:sz w:val="24"/>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ascii="宋体" w:hAnsi="宋体" w:eastAsia="宋体" w:cs="Tahoma"/>
                <w:color w:val="000000"/>
                <w:kern w:val="0"/>
                <w:sz w:val="24"/>
              </w:rPr>
            </w:pPr>
          </w:p>
        </w:tc>
        <w:tc>
          <w:tcPr>
            <w:tcW w:w="1667" w:type="dxa"/>
            <w:vAlign w:val="center"/>
          </w:tcPr>
          <w:p>
            <w:pPr>
              <w:widowControl/>
              <w:rPr>
                <w:rFonts w:hint="eastAsia" w:ascii="宋体" w:hAnsi="宋体" w:eastAsia="宋体" w:cs="Tahoma"/>
                <w:bCs/>
                <w:color w:val="000000"/>
                <w:kern w:val="0"/>
                <w:sz w:val="24"/>
                <w:highlight w:val="none"/>
                <w:lang w:eastAsia="zh-CN"/>
              </w:rPr>
            </w:pPr>
            <w:r>
              <w:rPr>
                <w:rFonts w:hint="eastAsia" w:ascii="宋体" w:hAnsi="宋体" w:cs="Tahoma"/>
                <w:bCs/>
                <w:color w:val="000000"/>
                <w:kern w:val="0"/>
                <w:sz w:val="24"/>
                <w:highlight w:val="none"/>
                <w:lang w:eastAsia="zh-CN"/>
              </w:rPr>
              <w:t>仓储管理</w:t>
            </w:r>
          </w:p>
        </w:tc>
        <w:tc>
          <w:tcPr>
            <w:tcW w:w="5565" w:type="dxa"/>
            <w:vAlign w:val="center"/>
          </w:tcPr>
          <w:p>
            <w:pPr>
              <w:widowControl/>
              <w:rPr>
                <w:rFonts w:ascii="宋体" w:hAnsi="宋体" w:eastAsia="宋体" w:cs="Tahoma"/>
                <w:bCs/>
                <w:color w:val="000000"/>
                <w:kern w:val="0"/>
                <w:sz w:val="24"/>
                <w:highlight w:val="none"/>
              </w:rPr>
            </w:pPr>
            <w:r>
              <w:rPr>
                <w:rFonts w:hint="eastAsia" w:ascii="宋体" w:hAnsi="宋体" w:eastAsia="宋体" w:cs="Tahoma"/>
                <w:bCs/>
                <w:color w:val="000000"/>
                <w:kern w:val="0"/>
                <w:sz w:val="24"/>
                <w:highlight w:val="none"/>
              </w:rPr>
              <w:t>按照仓储流程，全面介绍了仓储及仓储管理的概念和基本功能、仓库的规划与布局、仓储设施与设备、仓储日常管理、仓储经营管理、仓储作业管理、库内作业管理、库存物品养护、装卸搬运和包装、库存管理、仓库生产绩效与5s管理、现代化的仓储管理等，便于学生系统掌握仓储作业及管理的知识、技能和方法</w:t>
            </w:r>
          </w:p>
        </w:tc>
        <w:tc>
          <w:tcPr>
            <w:tcW w:w="456" w:type="dxa"/>
            <w:vAlign w:val="center"/>
          </w:tcPr>
          <w:p>
            <w:pPr>
              <w:widowControl/>
              <w:jc w:val="center"/>
              <w:rPr>
                <w:rFonts w:hint="eastAsia" w:ascii="宋体" w:hAnsi="宋体" w:eastAsia="宋体"/>
                <w:color w:val="000000"/>
                <w:kern w:val="0"/>
                <w:sz w:val="24"/>
                <w:highlight w:val="none"/>
                <w:lang w:val="en-US" w:eastAsia="zh-CN"/>
              </w:rPr>
            </w:pPr>
            <w:r>
              <w:rPr>
                <w:rFonts w:hint="eastAsia" w:ascii="宋体" w:hAnsi="宋体"/>
                <w:color w:val="000000"/>
                <w:kern w:val="0"/>
                <w:sz w:val="24"/>
                <w:highlight w:val="none"/>
                <w:lang w:val="en-US" w:eastAsia="zh-CN"/>
              </w:rPr>
              <w:t>3</w:t>
            </w:r>
          </w:p>
        </w:tc>
        <w:tc>
          <w:tcPr>
            <w:tcW w:w="612" w:type="dxa"/>
            <w:vAlign w:val="center"/>
          </w:tcPr>
          <w:p>
            <w:pPr>
              <w:widowControl/>
              <w:jc w:val="center"/>
              <w:rPr>
                <w:rFonts w:hint="eastAsia" w:ascii="宋体" w:hAnsi="宋体" w:eastAsia="宋体"/>
                <w:color w:val="000000"/>
                <w:kern w:val="0"/>
                <w:sz w:val="24"/>
                <w:highlight w:val="none"/>
                <w:lang w:val="en-US" w:eastAsia="zh-CN"/>
              </w:rPr>
            </w:pPr>
            <w:r>
              <w:rPr>
                <w:rFonts w:hint="eastAsia" w:ascii="宋体" w:hAnsi="宋体"/>
                <w:color w:val="000000"/>
                <w:kern w:val="0"/>
                <w:sz w:val="24"/>
                <w:highlight w:val="none"/>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ascii="宋体" w:hAnsi="宋体" w:eastAsia="宋体" w:cs="Tahoma"/>
                <w:color w:val="000000"/>
                <w:kern w:val="0"/>
                <w:sz w:val="24"/>
              </w:rPr>
            </w:pPr>
          </w:p>
        </w:tc>
        <w:tc>
          <w:tcPr>
            <w:tcW w:w="1667" w:type="dxa"/>
            <w:vAlign w:val="center"/>
          </w:tcPr>
          <w:p>
            <w:pPr>
              <w:widowControl/>
              <w:rPr>
                <w:rFonts w:hint="eastAsia" w:ascii="宋体" w:hAnsi="宋体" w:eastAsia="宋体" w:cs="Tahoma"/>
                <w:bCs/>
                <w:color w:val="000000"/>
                <w:kern w:val="0"/>
                <w:sz w:val="24"/>
                <w:lang w:eastAsia="zh-CN"/>
              </w:rPr>
            </w:pPr>
            <w:r>
              <w:rPr>
                <w:rFonts w:hint="eastAsia" w:ascii="宋体" w:hAnsi="宋体" w:cs="Tahoma"/>
                <w:bCs/>
                <w:color w:val="000000"/>
                <w:kern w:val="0"/>
                <w:sz w:val="24"/>
                <w:lang w:eastAsia="zh-CN"/>
              </w:rPr>
              <w:t>工业工程基础</w:t>
            </w:r>
          </w:p>
        </w:tc>
        <w:tc>
          <w:tcPr>
            <w:tcW w:w="5565" w:type="dxa"/>
            <w:vAlign w:val="center"/>
          </w:tcPr>
          <w:p>
            <w:pPr>
              <w:widowControl/>
              <w:rPr>
                <w:rFonts w:ascii="宋体" w:hAnsi="宋体" w:eastAsia="宋体" w:cs="Tahoma"/>
                <w:bCs/>
                <w:color w:val="000000"/>
                <w:kern w:val="0"/>
                <w:sz w:val="24"/>
              </w:rPr>
            </w:pPr>
            <w:r>
              <w:rPr>
                <w:rFonts w:ascii="宋体" w:hAnsi="宋体" w:eastAsia="宋体"/>
                <w:bCs/>
                <w:color w:val="000000"/>
                <w:kern w:val="0"/>
                <w:sz w:val="24"/>
                <w:highlight w:val="none"/>
              </w:rPr>
              <w:t>IE</w:t>
            </w:r>
            <w:r>
              <w:rPr>
                <w:rFonts w:hint="eastAsia" w:ascii="宋体" w:hAnsi="宋体" w:eastAsia="宋体"/>
                <w:bCs/>
                <w:color w:val="000000"/>
                <w:kern w:val="0"/>
                <w:sz w:val="24"/>
                <w:highlight w:val="none"/>
              </w:rPr>
              <w:t>在生产企业生产运营管理中的作用，</w:t>
            </w:r>
            <w:r>
              <w:rPr>
                <w:rFonts w:ascii="宋体" w:hAnsi="宋体" w:eastAsia="宋体"/>
                <w:bCs/>
                <w:color w:val="000000"/>
                <w:kern w:val="0"/>
                <w:sz w:val="24"/>
                <w:highlight w:val="none"/>
              </w:rPr>
              <w:t>IE</w:t>
            </w:r>
            <w:r>
              <w:rPr>
                <w:rFonts w:hint="eastAsia" w:ascii="宋体" w:hAnsi="宋体" w:eastAsia="宋体"/>
                <w:bCs/>
                <w:color w:val="000000"/>
                <w:kern w:val="0"/>
                <w:sz w:val="24"/>
                <w:highlight w:val="none"/>
              </w:rPr>
              <w:t>工程改善手法与实操</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3</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ascii="宋体" w:hAnsi="宋体" w:eastAsia="宋体" w:cs="Tahoma"/>
                <w:color w:val="000000"/>
                <w:kern w:val="0"/>
                <w:sz w:val="24"/>
              </w:rPr>
            </w:pPr>
          </w:p>
        </w:tc>
        <w:tc>
          <w:tcPr>
            <w:tcW w:w="1667" w:type="dxa"/>
            <w:vAlign w:val="center"/>
          </w:tcPr>
          <w:p>
            <w:pPr>
              <w:widowControl/>
              <w:rPr>
                <w:rFonts w:ascii="宋体" w:hAnsi="宋体" w:eastAsia="宋体" w:cs="Tahoma"/>
                <w:bCs/>
                <w:color w:val="000000"/>
                <w:kern w:val="0"/>
                <w:sz w:val="24"/>
                <w:highlight w:val="none"/>
              </w:rPr>
            </w:pPr>
            <w:r>
              <w:rPr>
                <w:rFonts w:hint="eastAsia" w:ascii="宋体" w:hAnsi="宋体" w:eastAsia="宋体" w:cs="Tahoma"/>
                <w:bCs/>
                <w:color w:val="000000"/>
                <w:kern w:val="0"/>
                <w:sz w:val="24"/>
                <w:highlight w:val="none"/>
              </w:rPr>
              <w:t>企业现场管理</w:t>
            </w:r>
            <w:r>
              <w:rPr>
                <w:rFonts w:hint="eastAsia" w:ascii="宋体" w:hAnsi="宋体" w:cs="Tahoma"/>
                <w:bCs/>
                <w:color w:val="000000"/>
                <w:kern w:val="0"/>
                <w:sz w:val="24"/>
                <w:highlight w:val="none"/>
                <w:lang w:eastAsia="zh-CN"/>
              </w:rPr>
              <w:t>专项能力认证培训</w:t>
            </w:r>
          </w:p>
        </w:tc>
        <w:tc>
          <w:tcPr>
            <w:tcW w:w="5565" w:type="dxa"/>
            <w:vAlign w:val="center"/>
          </w:tcPr>
          <w:p>
            <w:pPr>
              <w:widowControl/>
              <w:rPr>
                <w:rFonts w:hint="eastAsia" w:ascii="宋体" w:hAnsi="宋体" w:eastAsia="宋体" w:cs="Tahoma"/>
                <w:bCs/>
                <w:color w:val="000000"/>
                <w:kern w:val="0"/>
                <w:sz w:val="24"/>
                <w:highlight w:val="none"/>
              </w:rPr>
            </w:pPr>
            <w:r>
              <w:rPr>
                <w:rFonts w:hint="eastAsia" w:ascii="宋体" w:hAnsi="宋体" w:eastAsia="宋体" w:cs="Tahoma"/>
                <w:bCs/>
                <w:color w:val="000000"/>
                <w:kern w:val="0"/>
                <w:sz w:val="24"/>
                <w:highlight w:val="none"/>
              </w:rPr>
              <w:t>从企业班组现场管理岗位职业能力需要出发，以班组长素质和能力提升为核心，选择适合企业班组现场管理知识为主，相关基层管理知识为辅的教学内容</w:t>
            </w:r>
            <w:r>
              <w:rPr>
                <w:rFonts w:hint="eastAsia" w:ascii="宋体" w:hAnsi="宋体" w:cs="Tahoma"/>
                <w:bCs/>
                <w:color w:val="000000"/>
                <w:kern w:val="0"/>
                <w:sz w:val="24"/>
                <w:highlight w:val="none"/>
                <w:lang w:eastAsia="zh-CN"/>
              </w:rPr>
              <w:t>。主要内容包括</w:t>
            </w:r>
            <w:r>
              <w:rPr>
                <w:rFonts w:hint="eastAsia" w:ascii="宋体" w:hAnsi="宋体" w:eastAsia="宋体" w:cs="Tahoma"/>
                <w:bCs/>
                <w:color w:val="000000"/>
                <w:kern w:val="0"/>
                <w:sz w:val="24"/>
                <w:highlight w:val="none"/>
              </w:rPr>
              <w:t>企业班组现场管理、技术管理、质量管理、团队建设和企业文化建设等领域，共分九章，分别是企业班组现场管理概述、班组长的角色与素质、班组现场人员管理、班组现场设备管理、班组现场生产管理、班组现场质量管理、班组建设与管理、班组现场成本管理、班组现场安全管理。</w:t>
            </w:r>
          </w:p>
        </w:tc>
        <w:tc>
          <w:tcPr>
            <w:tcW w:w="456" w:type="dxa"/>
            <w:vAlign w:val="center"/>
          </w:tcPr>
          <w:p>
            <w:pPr>
              <w:widowControl/>
              <w:jc w:val="center"/>
              <w:rPr>
                <w:rFonts w:hint="eastAsia" w:ascii="宋体" w:hAnsi="宋体" w:eastAsia="宋体"/>
                <w:color w:val="000000"/>
                <w:kern w:val="0"/>
                <w:sz w:val="24"/>
                <w:highlight w:val="none"/>
                <w:lang w:eastAsia="zh-CN"/>
              </w:rPr>
            </w:pPr>
            <w:r>
              <w:rPr>
                <w:rFonts w:hint="eastAsia" w:ascii="宋体" w:hAnsi="宋体"/>
                <w:color w:val="000000"/>
                <w:kern w:val="0"/>
                <w:sz w:val="24"/>
                <w:highlight w:val="none"/>
                <w:lang w:val="en-US" w:eastAsia="zh-CN"/>
              </w:rPr>
              <w:t>3</w:t>
            </w:r>
          </w:p>
        </w:tc>
        <w:tc>
          <w:tcPr>
            <w:tcW w:w="612" w:type="dxa"/>
            <w:vAlign w:val="center"/>
          </w:tcPr>
          <w:p>
            <w:pPr>
              <w:widowControl/>
              <w:jc w:val="center"/>
              <w:rPr>
                <w:rFonts w:hint="eastAsia" w:ascii="宋体" w:hAnsi="宋体" w:eastAsia="宋体"/>
                <w:color w:val="000000"/>
                <w:kern w:val="0"/>
                <w:sz w:val="24"/>
                <w:highlight w:val="none"/>
                <w:lang w:eastAsia="zh-CN"/>
              </w:rPr>
            </w:pPr>
            <w:r>
              <w:rPr>
                <w:rFonts w:hint="eastAsia" w:ascii="宋体" w:hAnsi="宋体"/>
                <w:color w:val="000000"/>
                <w:kern w:val="0"/>
                <w:sz w:val="24"/>
                <w:highlight w:val="none"/>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restart"/>
            <w:vAlign w:val="center"/>
          </w:tcPr>
          <w:p>
            <w:pPr>
              <w:widowControl/>
              <w:rPr>
                <w:rFonts w:ascii="宋体" w:hAnsi="宋体" w:eastAsia="宋体" w:cs="Tahoma"/>
                <w:color w:val="000000"/>
                <w:kern w:val="0"/>
                <w:sz w:val="24"/>
              </w:rPr>
            </w:pPr>
            <w:r>
              <w:rPr>
                <w:rFonts w:hint="eastAsia" w:ascii="宋体" w:hAnsi="宋体" w:eastAsia="宋体" w:cs="Tahoma"/>
                <w:color w:val="000000"/>
                <w:kern w:val="0"/>
                <w:sz w:val="24"/>
              </w:rPr>
              <w:t>专业拓展课</w:t>
            </w:r>
          </w:p>
        </w:tc>
        <w:tc>
          <w:tcPr>
            <w:tcW w:w="1667" w:type="dxa"/>
            <w:vAlign w:val="center"/>
          </w:tcPr>
          <w:p>
            <w:pPr>
              <w:widowControl/>
              <w:rPr>
                <w:rFonts w:ascii="宋体" w:hAnsi="宋体" w:eastAsia="宋体" w:cs="Tahoma"/>
                <w:bCs/>
                <w:color w:val="000000"/>
                <w:kern w:val="0"/>
                <w:sz w:val="24"/>
              </w:rPr>
            </w:pPr>
            <w:r>
              <w:rPr>
                <w:rFonts w:hint="eastAsia" w:ascii="宋体" w:hAnsi="宋体" w:eastAsia="宋体" w:cs="Tahoma"/>
                <w:bCs/>
                <w:color w:val="000000"/>
                <w:kern w:val="0"/>
                <w:sz w:val="24"/>
              </w:rPr>
              <w:t>电子商务概论</w:t>
            </w:r>
          </w:p>
        </w:tc>
        <w:tc>
          <w:tcPr>
            <w:tcW w:w="5565" w:type="dxa"/>
            <w:vAlign w:val="center"/>
          </w:tcPr>
          <w:p>
            <w:pPr>
              <w:widowControl/>
              <w:rPr>
                <w:rFonts w:ascii="宋体" w:hAnsi="宋体" w:eastAsia="宋体" w:cs="Tahoma"/>
                <w:bCs/>
                <w:color w:val="000000"/>
                <w:kern w:val="0"/>
                <w:sz w:val="24"/>
              </w:rPr>
            </w:pPr>
            <w:r>
              <w:rPr>
                <w:rFonts w:hint="eastAsia" w:ascii="宋体" w:hAnsi="宋体" w:eastAsia="宋体" w:cs="Tahoma"/>
                <w:bCs/>
                <w:color w:val="000000"/>
                <w:kern w:val="0"/>
                <w:sz w:val="24"/>
              </w:rPr>
              <w:t>电子商务的基本知识与技术基础，网络营销与电子商务的应用等内容</w:t>
            </w:r>
            <w:r>
              <w:rPr>
                <w:rFonts w:hint="eastAsia" w:ascii="宋体" w:hAnsi="宋体" w:cs="Tahoma"/>
                <w:bCs/>
                <w:color w:val="000000"/>
                <w:kern w:val="0"/>
                <w:sz w:val="24"/>
                <w:lang w:eastAsia="zh-CN"/>
              </w:rPr>
              <w:t>。</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4</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hint="eastAsia" w:ascii="宋体" w:hAnsi="宋体" w:eastAsia="宋体" w:cs="Tahoma"/>
                <w:color w:val="000000"/>
                <w:kern w:val="0"/>
                <w:sz w:val="24"/>
              </w:rPr>
            </w:pPr>
          </w:p>
        </w:tc>
        <w:tc>
          <w:tcPr>
            <w:tcW w:w="1667"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员工关系管理</w:t>
            </w:r>
          </w:p>
        </w:tc>
        <w:tc>
          <w:tcPr>
            <w:tcW w:w="5565"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本课程主要介绍员工关系管理知识和技巧。员工关系管理是人力资源管理的一项重要而且复杂的内容。妥善管理好员工之间、员工与企业之间的关系是增强团队凝聚力、达成企业共同愿景的重要环节。本教材以企业与员工、员工与员工之间联系和影响为主线。涉及到员工管理领域的主要内容和流程，阐释了员工关系、劳动关系确立、劳动合同等基本员工关系管理问题，探讨了沟通、绩效管理、薪酬管理、纪律与奖惩、问题员工管理、冲突管理、企业文化建设、员工关系诊断与改进等员工关系管理的主要职能。每一章基本按概念阐释、原则指引、策略思路组织内容，配以案例思考、经验分享、问题思考、作业练习等内容。全书共分九章，分别是劳动关系管理、员工人际关系管理、沟通管理、绩效管理、薪酬管理、纪律管理、企业文化建设、员工冲突管理、员工关系诊断与改进。</w:t>
            </w:r>
          </w:p>
        </w:tc>
        <w:tc>
          <w:tcPr>
            <w:tcW w:w="456" w:type="dxa"/>
            <w:vAlign w:val="center"/>
          </w:tcPr>
          <w:p>
            <w:pPr>
              <w:widowControl/>
              <w:jc w:val="center"/>
              <w:rPr>
                <w:rFonts w:hint="eastAsia" w:ascii="宋体" w:hAnsi="宋体" w:eastAsia="宋体"/>
                <w:color w:val="000000"/>
                <w:kern w:val="0"/>
                <w:sz w:val="24"/>
              </w:rPr>
            </w:pPr>
            <w:r>
              <w:rPr>
                <w:rFonts w:ascii="宋体" w:hAnsi="宋体" w:eastAsia="宋体"/>
                <w:color w:val="000000"/>
                <w:kern w:val="0"/>
                <w:sz w:val="24"/>
              </w:rPr>
              <w:t>3</w:t>
            </w:r>
          </w:p>
        </w:tc>
        <w:tc>
          <w:tcPr>
            <w:tcW w:w="612" w:type="dxa"/>
            <w:vAlign w:val="center"/>
          </w:tcPr>
          <w:p>
            <w:pPr>
              <w:widowControl/>
              <w:jc w:val="center"/>
              <w:rPr>
                <w:rFonts w:hint="eastAsia" w:ascii="宋体" w:hAnsi="宋体" w:eastAsia="宋体"/>
                <w:color w:val="000000"/>
                <w:kern w:val="0"/>
                <w:sz w:val="24"/>
              </w:rPr>
            </w:pPr>
            <w:r>
              <w:rPr>
                <w:rFonts w:ascii="宋体" w:hAnsi="宋体" w:eastAsia="宋体"/>
                <w:color w:val="000000"/>
                <w:kern w:val="0"/>
                <w:sz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hint="eastAsia" w:ascii="宋体" w:hAnsi="宋体" w:eastAsia="宋体" w:cs="Tahoma"/>
                <w:color w:val="000000"/>
                <w:kern w:val="0"/>
                <w:sz w:val="24"/>
              </w:rPr>
            </w:pPr>
          </w:p>
        </w:tc>
        <w:tc>
          <w:tcPr>
            <w:tcW w:w="1667"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企业信息管理</w:t>
            </w:r>
          </w:p>
        </w:tc>
        <w:tc>
          <w:tcPr>
            <w:tcW w:w="5565"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企业信息管理基本知识、技术平台与企业信息系统等内容</w:t>
            </w:r>
            <w:r>
              <w:rPr>
                <w:rFonts w:hint="eastAsia" w:ascii="宋体" w:hAnsi="宋体" w:cs="Tahoma"/>
                <w:bCs/>
                <w:color w:val="000000"/>
                <w:kern w:val="0"/>
                <w:sz w:val="24"/>
                <w:lang w:eastAsia="zh-CN"/>
              </w:rPr>
              <w:t>。</w:t>
            </w:r>
          </w:p>
        </w:tc>
        <w:tc>
          <w:tcPr>
            <w:tcW w:w="456" w:type="dxa"/>
            <w:vAlign w:val="center"/>
          </w:tcPr>
          <w:p>
            <w:pPr>
              <w:widowControl/>
              <w:jc w:val="center"/>
              <w:rPr>
                <w:rFonts w:hint="eastAsia" w:ascii="宋体" w:hAnsi="宋体" w:eastAsia="宋体"/>
                <w:color w:val="000000"/>
                <w:kern w:val="0"/>
                <w:sz w:val="24"/>
              </w:rPr>
            </w:pPr>
            <w:r>
              <w:rPr>
                <w:rFonts w:ascii="宋体" w:hAnsi="宋体" w:eastAsia="宋体"/>
                <w:color w:val="000000"/>
                <w:kern w:val="0"/>
                <w:sz w:val="24"/>
              </w:rPr>
              <w:t>4</w:t>
            </w:r>
          </w:p>
        </w:tc>
        <w:tc>
          <w:tcPr>
            <w:tcW w:w="612" w:type="dxa"/>
            <w:vAlign w:val="center"/>
          </w:tcPr>
          <w:p>
            <w:pPr>
              <w:widowControl/>
              <w:jc w:val="center"/>
              <w:rPr>
                <w:rFonts w:hint="eastAsia" w:ascii="宋体" w:hAnsi="宋体" w:eastAsia="宋体"/>
                <w:color w:val="000000"/>
                <w:kern w:val="0"/>
                <w:sz w:val="24"/>
              </w:rPr>
            </w:pPr>
            <w:r>
              <w:rPr>
                <w:rFonts w:ascii="宋体" w:hAnsi="宋体" w:eastAsia="宋体"/>
                <w:color w:val="000000"/>
                <w:kern w:val="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hint="eastAsia" w:ascii="宋体" w:hAnsi="宋体" w:eastAsia="宋体" w:cs="Tahoma"/>
                <w:color w:val="000000"/>
                <w:kern w:val="0"/>
                <w:sz w:val="24"/>
              </w:rPr>
            </w:pPr>
          </w:p>
        </w:tc>
        <w:tc>
          <w:tcPr>
            <w:tcW w:w="1667"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资源与运营管理</w:t>
            </w:r>
          </w:p>
        </w:tc>
        <w:tc>
          <w:tcPr>
            <w:tcW w:w="5565"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掌握科学的管理方法和实际应用技能，提高资源使用能力以及运营绩效管理能力</w:t>
            </w:r>
            <w:r>
              <w:rPr>
                <w:rFonts w:hint="eastAsia" w:ascii="宋体" w:hAnsi="宋体" w:cs="Tahoma"/>
                <w:bCs/>
                <w:color w:val="000000"/>
                <w:kern w:val="0"/>
                <w:sz w:val="24"/>
                <w:lang w:eastAsia="zh-CN"/>
              </w:rPr>
              <w:t>。</w:t>
            </w:r>
          </w:p>
        </w:tc>
        <w:tc>
          <w:tcPr>
            <w:tcW w:w="456" w:type="dxa"/>
            <w:vAlign w:val="center"/>
          </w:tcPr>
          <w:p>
            <w:pPr>
              <w:widowControl/>
              <w:jc w:val="center"/>
              <w:rPr>
                <w:rFonts w:hint="eastAsia" w:ascii="宋体" w:hAnsi="宋体" w:eastAsia="宋体"/>
                <w:color w:val="000000"/>
                <w:kern w:val="0"/>
                <w:sz w:val="24"/>
              </w:rPr>
            </w:pPr>
            <w:r>
              <w:rPr>
                <w:rFonts w:ascii="宋体" w:hAnsi="宋体" w:eastAsia="宋体"/>
                <w:color w:val="000000"/>
                <w:kern w:val="0"/>
                <w:sz w:val="24"/>
              </w:rPr>
              <w:t>3</w:t>
            </w:r>
          </w:p>
        </w:tc>
        <w:tc>
          <w:tcPr>
            <w:tcW w:w="612" w:type="dxa"/>
            <w:vAlign w:val="center"/>
          </w:tcPr>
          <w:p>
            <w:pPr>
              <w:widowControl/>
              <w:jc w:val="center"/>
              <w:rPr>
                <w:rFonts w:hint="eastAsia" w:ascii="宋体" w:hAnsi="宋体" w:eastAsia="宋体"/>
                <w:color w:val="000000"/>
                <w:kern w:val="0"/>
                <w:sz w:val="24"/>
              </w:rPr>
            </w:pPr>
            <w:r>
              <w:rPr>
                <w:rFonts w:ascii="宋体" w:hAnsi="宋体" w:eastAsia="宋体"/>
                <w:color w:val="000000"/>
                <w:kern w:val="0"/>
                <w:sz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hint="eastAsia" w:ascii="宋体" w:hAnsi="宋体" w:eastAsia="宋体" w:cs="Tahoma"/>
                <w:color w:val="000000"/>
                <w:kern w:val="0"/>
                <w:sz w:val="24"/>
              </w:rPr>
            </w:pPr>
          </w:p>
        </w:tc>
        <w:tc>
          <w:tcPr>
            <w:tcW w:w="1667"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个人与团队管理</w:t>
            </w:r>
          </w:p>
        </w:tc>
        <w:tc>
          <w:tcPr>
            <w:tcW w:w="5565" w:type="dxa"/>
            <w:vAlign w:val="center"/>
          </w:tcPr>
          <w:p>
            <w:pPr>
              <w:widowControl/>
              <w:rPr>
                <w:rFonts w:hint="eastAsia" w:ascii="宋体" w:hAnsi="宋体" w:eastAsia="宋体" w:cs="Tahoma"/>
                <w:bCs/>
                <w:color w:val="000000"/>
                <w:kern w:val="0"/>
                <w:sz w:val="24"/>
              </w:rPr>
            </w:pPr>
            <w:r>
              <w:rPr>
                <w:rFonts w:hint="eastAsia" w:ascii="宋体" w:hAnsi="宋体" w:eastAsia="宋体" w:cs="Tahoma"/>
                <w:bCs/>
                <w:color w:val="000000"/>
                <w:kern w:val="0"/>
                <w:sz w:val="24"/>
              </w:rPr>
              <w:t>团队领导和建设能力、团队战略决策能力、激励团队能力</w:t>
            </w:r>
            <w:r>
              <w:rPr>
                <w:rFonts w:hint="eastAsia" w:ascii="宋体" w:hAnsi="宋体" w:cs="Tahoma"/>
                <w:bCs/>
                <w:color w:val="000000"/>
                <w:kern w:val="0"/>
                <w:sz w:val="24"/>
                <w:lang w:eastAsia="zh-CN"/>
              </w:rPr>
              <w:t>。</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3</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550" w:type="dxa"/>
            <w:vMerge w:val="continue"/>
            <w:vAlign w:val="center"/>
          </w:tcPr>
          <w:p>
            <w:pPr>
              <w:widowControl/>
              <w:rPr>
                <w:rFonts w:ascii="宋体" w:hAnsi="宋体" w:eastAsia="宋体" w:cs="Tahoma"/>
                <w:color w:val="000000"/>
                <w:kern w:val="0"/>
                <w:sz w:val="24"/>
              </w:rPr>
            </w:pPr>
          </w:p>
        </w:tc>
        <w:tc>
          <w:tcPr>
            <w:tcW w:w="1667" w:type="dxa"/>
            <w:vAlign w:val="center"/>
          </w:tcPr>
          <w:p>
            <w:pPr>
              <w:widowControl/>
              <w:rPr>
                <w:rFonts w:hint="eastAsia" w:ascii="宋体" w:hAnsi="宋体" w:eastAsia="宋体" w:cs="Tahoma"/>
                <w:bCs/>
                <w:color w:val="000000"/>
                <w:kern w:val="0"/>
                <w:sz w:val="24"/>
                <w:lang w:eastAsia="zh-CN"/>
              </w:rPr>
            </w:pPr>
            <w:r>
              <w:rPr>
                <w:rFonts w:hint="eastAsia" w:ascii="宋体" w:hAnsi="宋体" w:cs="Tahoma"/>
                <w:bCs/>
                <w:color w:val="000000"/>
                <w:kern w:val="0"/>
                <w:sz w:val="24"/>
                <w:lang w:eastAsia="zh-CN"/>
              </w:rPr>
              <w:t>先进制造系统</w:t>
            </w:r>
          </w:p>
        </w:tc>
        <w:tc>
          <w:tcPr>
            <w:tcW w:w="5565" w:type="dxa"/>
            <w:vAlign w:val="center"/>
          </w:tcPr>
          <w:p>
            <w:pPr>
              <w:widowControl/>
              <w:rPr>
                <w:rFonts w:hint="eastAsia" w:ascii="宋体" w:hAnsi="宋体" w:eastAsia="宋体" w:cs="Tahoma"/>
                <w:bCs/>
                <w:color w:val="000000"/>
                <w:kern w:val="0"/>
                <w:sz w:val="24"/>
                <w:lang w:eastAsia="zh-CN"/>
              </w:rPr>
            </w:pPr>
            <w:r>
              <w:rPr>
                <w:rFonts w:hint="eastAsia" w:ascii="宋体" w:hAnsi="宋体" w:cs="Tahoma"/>
                <w:bCs/>
                <w:color w:val="000000"/>
                <w:kern w:val="0"/>
                <w:sz w:val="24"/>
                <w:lang w:eastAsia="zh-CN"/>
              </w:rPr>
              <w:t>制造系统装备发展历史，工业信息化、工业</w:t>
            </w:r>
            <w:r>
              <w:rPr>
                <w:rFonts w:hint="eastAsia" w:ascii="宋体" w:hAnsi="宋体" w:cs="Tahoma"/>
                <w:bCs/>
                <w:color w:val="000000"/>
                <w:kern w:val="0"/>
                <w:sz w:val="24"/>
                <w:lang w:val="en-US" w:eastAsia="zh-CN"/>
              </w:rPr>
              <w:t>4.0等</w:t>
            </w:r>
          </w:p>
        </w:tc>
        <w:tc>
          <w:tcPr>
            <w:tcW w:w="456" w:type="dxa"/>
            <w:vAlign w:val="center"/>
          </w:tcPr>
          <w:p>
            <w:pPr>
              <w:widowControl/>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c>
          <w:tcPr>
            <w:tcW w:w="612" w:type="dxa"/>
            <w:vAlign w:val="center"/>
          </w:tcPr>
          <w:p>
            <w:pPr>
              <w:widowControl/>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restart"/>
            <w:vAlign w:val="center"/>
          </w:tcPr>
          <w:p>
            <w:pPr>
              <w:widowControl/>
              <w:rPr>
                <w:rFonts w:ascii="宋体" w:hAnsi="宋体" w:eastAsia="宋体" w:cs="Tahoma"/>
                <w:color w:val="000000"/>
                <w:kern w:val="0"/>
                <w:sz w:val="24"/>
              </w:rPr>
            </w:pPr>
            <w:r>
              <w:rPr>
                <w:rFonts w:hint="eastAsia" w:ascii="宋体" w:hAnsi="宋体" w:eastAsia="宋体" w:cs="Tahoma"/>
                <w:color w:val="000000"/>
                <w:kern w:val="0"/>
                <w:sz w:val="24"/>
              </w:rPr>
              <w:t>综合实践</w:t>
            </w:r>
          </w:p>
        </w:tc>
        <w:tc>
          <w:tcPr>
            <w:tcW w:w="1667" w:type="dxa"/>
            <w:vAlign w:val="center"/>
          </w:tcPr>
          <w:p>
            <w:pPr>
              <w:widowControl/>
              <w:rPr>
                <w:rFonts w:ascii="宋体" w:hAnsi="宋体" w:eastAsia="宋体" w:cs="Tahoma"/>
                <w:color w:val="000000"/>
                <w:kern w:val="0"/>
                <w:sz w:val="24"/>
              </w:rPr>
            </w:pPr>
            <w:r>
              <w:rPr>
                <w:rFonts w:hint="eastAsia" w:ascii="宋体" w:hAnsi="宋体" w:eastAsia="宋体" w:cs="Tahoma"/>
                <w:color w:val="000000"/>
                <w:kern w:val="0"/>
                <w:sz w:val="24"/>
              </w:rPr>
              <w:t>毕业设计（毕业作业）</w:t>
            </w:r>
          </w:p>
        </w:tc>
        <w:tc>
          <w:tcPr>
            <w:tcW w:w="5565" w:type="dxa"/>
            <w:vAlign w:val="center"/>
          </w:tcPr>
          <w:p>
            <w:pPr>
              <w:widowControl/>
              <w:rPr>
                <w:rFonts w:ascii="宋体" w:hAnsi="宋体" w:eastAsia="宋体" w:cs="Tahoma"/>
                <w:color w:val="000000"/>
                <w:kern w:val="0"/>
                <w:sz w:val="24"/>
              </w:rPr>
            </w:pPr>
            <w:r>
              <w:rPr>
                <w:rFonts w:hint="eastAsia" w:ascii="宋体" w:hAnsi="宋体" w:eastAsia="宋体" w:cs="Tahoma"/>
                <w:color w:val="000000"/>
                <w:kern w:val="0"/>
                <w:sz w:val="24"/>
              </w:rPr>
              <w:t>毕业设计旨在培养学生综合地应用所学专业知识和技能解决较为复 杂问题的能力，并使学生受到科学研究工作或设计工作的初步训练。形式为案例设计与分析或毕业论文</w:t>
            </w:r>
            <w:r>
              <w:rPr>
                <w:rFonts w:hint="eastAsia" w:ascii="宋体" w:hAnsi="宋体" w:cs="Tahoma"/>
                <w:color w:val="000000"/>
                <w:kern w:val="0"/>
                <w:sz w:val="24"/>
                <w:lang w:eastAsia="zh-CN"/>
              </w:rPr>
              <w:t>。</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5</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Merge w:val="continue"/>
            <w:vAlign w:val="center"/>
          </w:tcPr>
          <w:p>
            <w:pPr>
              <w:widowControl/>
              <w:rPr>
                <w:rFonts w:ascii="宋体" w:hAnsi="宋体" w:eastAsia="宋体" w:cs="Tahoma"/>
                <w:color w:val="000000"/>
                <w:kern w:val="0"/>
                <w:sz w:val="24"/>
              </w:rPr>
            </w:pPr>
          </w:p>
        </w:tc>
        <w:tc>
          <w:tcPr>
            <w:tcW w:w="1667" w:type="dxa"/>
            <w:vAlign w:val="center"/>
          </w:tcPr>
          <w:p>
            <w:pPr>
              <w:widowControl/>
              <w:rPr>
                <w:rFonts w:ascii="宋体" w:hAnsi="宋体" w:eastAsia="宋体" w:cs="Tahoma"/>
                <w:color w:val="000000"/>
                <w:kern w:val="0"/>
                <w:sz w:val="24"/>
              </w:rPr>
            </w:pPr>
            <w:r>
              <w:rPr>
                <w:rFonts w:hint="eastAsia" w:ascii="宋体" w:hAnsi="宋体" w:eastAsia="宋体" w:cs="Tahoma"/>
                <w:color w:val="000000"/>
                <w:kern w:val="0"/>
                <w:sz w:val="24"/>
              </w:rPr>
              <w:t>社会实践（实践报告）</w:t>
            </w:r>
          </w:p>
        </w:tc>
        <w:tc>
          <w:tcPr>
            <w:tcW w:w="5565" w:type="dxa"/>
            <w:vAlign w:val="center"/>
          </w:tcPr>
          <w:p>
            <w:pPr>
              <w:widowControl/>
              <w:numPr>
                <w:ilvl w:val="0"/>
                <w:numId w:val="5"/>
              </w:numPr>
              <w:jc w:val="left"/>
              <w:rPr>
                <w:rFonts w:hint="eastAsia" w:ascii="宋体" w:hAnsi="宋体" w:eastAsia="宋体" w:cs="Tahoma"/>
                <w:color w:val="000000"/>
                <w:kern w:val="0"/>
                <w:sz w:val="24"/>
              </w:rPr>
            </w:pPr>
            <w:r>
              <w:rPr>
                <w:rFonts w:hint="eastAsia" w:ascii="宋体" w:hAnsi="宋体" w:eastAsia="宋体" w:cs="Tahoma"/>
                <w:color w:val="000000"/>
                <w:kern w:val="0"/>
                <w:sz w:val="24"/>
              </w:rPr>
              <w:t>校企合作，增加参观教学。</w:t>
            </w:r>
            <w:r>
              <w:rPr>
                <w:rFonts w:hint="eastAsia" w:ascii="宋体" w:hAnsi="宋体" w:eastAsia="宋体" w:cs="Tahoma"/>
                <w:color w:val="000000"/>
                <w:kern w:val="0"/>
                <w:sz w:val="24"/>
              </w:rPr>
              <w:br/>
            </w:r>
            <w:r>
              <w:rPr>
                <w:rFonts w:hint="eastAsia" w:ascii="宋体" w:hAnsi="宋体" w:eastAsia="宋体" w:cs="Tahoma"/>
                <w:color w:val="000000"/>
                <w:kern w:val="0"/>
                <w:sz w:val="24"/>
              </w:rPr>
              <w:t>由于</w:t>
            </w:r>
            <w:r>
              <w:rPr>
                <w:rFonts w:hint="eastAsia" w:ascii="宋体" w:hAnsi="宋体" w:cs="Tahoma"/>
                <w:color w:val="000000"/>
                <w:kern w:val="0"/>
                <w:sz w:val="24"/>
                <w:lang w:eastAsia="zh-CN"/>
              </w:rPr>
              <w:t>工商管理（企业生产运营管理）</w:t>
            </w:r>
            <w:r>
              <w:rPr>
                <w:rFonts w:hint="eastAsia" w:ascii="宋体" w:hAnsi="宋体" w:eastAsia="宋体" w:cs="Tahoma"/>
                <w:color w:val="000000"/>
                <w:kern w:val="0"/>
                <w:sz w:val="24"/>
              </w:rPr>
              <w:t>专业具有一定的实践操作性，增加课外参观性的教学方式可以让学生更为清楚和直观地了解这些知识，从而促进牢固掌握这些知识，增强学生对所学知识的理解力。如在管理学的教学中，为了让学生对制造企业管理的物资调配和产品安装及现代化的流水线有一个实际了解，特安排学生参观有关企业的管理流程与生产作业流程，对学生进行现场讲解和解答有关的管理知识。</w:t>
            </w:r>
          </w:p>
          <w:p>
            <w:pPr>
              <w:widowControl/>
              <w:numPr>
                <w:ilvl w:val="0"/>
                <w:numId w:val="5"/>
              </w:numPr>
              <w:rPr>
                <w:rFonts w:ascii="宋体" w:hAnsi="宋体" w:eastAsia="宋体" w:cs="Tahoma"/>
                <w:color w:val="000000"/>
                <w:kern w:val="0"/>
                <w:sz w:val="24"/>
              </w:rPr>
            </w:pPr>
            <w:r>
              <w:rPr>
                <w:rFonts w:hint="eastAsia" w:ascii="宋体" w:hAnsi="宋体" w:eastAsia="宋体" w:cs="Tahoma"/>
                <w:color w:val="000000"/>
                <w:kern w:val="0"/>
                <w:sz w:val="24"/>
              </w:rPr>
              <w:t>建立校外实习基地。实践的重点是让学生对今后的工作产生感性认识，对专业知识进行认知，同时也是为学生从学校走向社会所增添的一个缓冲环节，是促使学生认知社会的一个重要窗口。在课程实习期间，专业任课老师安排一定量的实习，通过实习，使学生的理论知识和旅游实践高度结合，提高学生的感性认识。经过实习，促使学生“走近企业，了解企业，认识企业”，同时穿插学生实习的成绩综合考核指标体系，可使学生的实习质量和效果获得较大的提高。</w:t>
            </w:r>
          </w:p>
        </w:tc>
        <w:tc>
          <w:tcPr>
            <w:tcW w:w="456"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3</w:t>
            </w:r>
          </w:p>
        </w:tc>
        <w:tc>
          <w:tcPr>
            <w:tcW w:w="612" w:type="dxa"/>
            <w:vAlign w:val="center"/>
          </w:tcPr>
          <w:p>
            <w:pPr>
              <w:widowControl/>
              <w:jc w:val="center"/>
              <w:rPr>
                <w:rFonts w:ascii="宋体" w:hAnsi="宋体" w:eastAsia="宋体"/>
                <w:color w:val="000000"/>
                <w:kern w:val="0"/>
                <w:sz w:val="24"/>
              </w:rPr>
            </w:pPr>
            <w:r>
              <w:rPr>
                <w:rFonts w:ascii="宋体" w:hAnsi="宋体" w:eastAsia="宋体"/>
                <w:color w:val="000000"/>
                <w:kern w:val="0"/>
                <w:sz w:val="24"/>
              </w:rPr>
              <w:t>54</w:t>
            </w:r>
          </w:p>
        </w:tc>
      </w:tr>
    </w:tbl>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FZFSK--GBK1-0">
    <w:altName w:val="黑体"/>
    <w:panose1 w:val="00000000000000000000"/>
    <w:charset w:val="86"/>
    <w:family w:val="auto"/>
    <w:pitch w:val="default"/>
    <w:sig w:usb0="00000001" w:usb1="080E0000" w:usb2="00000010" w:usb3="00000000" w:csb0="00040000" w:csb1="00000000"/>
  </w:font>
  <w:font w:name="FZHTK--GBK1-0">
    <w:altName w:val="黑体"/>
    <w:panose1 w:val="00000000000000000000"/>
    <w:charset w:val="86"/>
    <w:family w:val="auto"/>
    <w:pitch w:val="default"/>
    <w:sig w:usb0="00000001" w:usb1="080E0000" w:usb2="00000010" w:usb3="00000000" w:csb0="00040000" w:csb1="00000000"/>
  </w:font>
  <w:font w:name="FZY3K--GBK1-0">
    <w:altName w:val="黑体"/>
    <w:panose1 w:val="00000000000000000000"/>
    <w:charset w:val="86"/>
    <w:family w:val="auto"/>
    <w:pitch w:val="default"/>
    <w:sig w:usb0="00000001" w:usb1="080E0000" w:usb2="00000010" w:usb3="00000000" w:csb0="00040000" w:csb1="00000000"/>
  </w:font>
  <w:font w:name="E-YT1">
    <w:altName w:val="黑体"/>
    <w:panose1 w:val="00000000000000000000"/>
    <w:charset w:val="86"/>
    <w:family w:val="auto"/>
    <w:pitch w:val="default"/>
    <w:sig w:usb0="00000001" w:usb1="080E0000" w:usb2="00000010" w:usb3="00000000" w:csb0="00040000" w:csb1="00000000"/>
  </w:font>
  <w:font w:name="FZSSK--GBK1-0">
    <w:altName w:val="黑体"/>
    <w:panose1 w:val="00000000000000000000"/>
    <w:charset w:val="86"/>
    <w:family w:val="auto"/>
    <w:pitch w:val="default"/>
    <w:sig w:usb0="00000001" w:usb1="080E0000" w:usb2="00000010" w:usb3="00000000" w:csb0="00040000" w:csb1="00000000"/>
  </w:font>
  <w:font w:name="E-BZ">
    <w:altName w:val="黑体"/>
    <w:panose1 w:val="00000000000000000000"/>
    <w:charset w:val="86"/>
    <w:family w:val="auto"/>
    <w:pitch w:val="default"/>
    <w:sig w:usb0="00000001" w:usb1="080E0000" w:usb2="00000010" w:usb3="00000000" w:csb0="00040000" w:csb1="00000000"/>
  </w:font>
  <w:font w:name="Tahoma">
    <w:panose1 w:val="020B0604030504040204"/>
    <w:charset w:val="00"/>
    <w:family w:val="auto"/>
    <w:pitch w:val="default"/>
    <w:sig w:usb0="61007A87" w:usb1="80000000" w:usb2="00000008" w:usb3="00000000" w:csb0="200101FF" w:csb1="2028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5907116">
    <w:nsid w:val="5596342C"/>
    <w:multiLevelType w:val="singleLevel"/>
    <w:tmpl w:val="5596342C"/>
    <w:lvl w:ilvl="0" w:tentative="1">
      <w:start w:val="1"/>
      <w:numFmt w:val="decimal"/>
      <w:suff w:val="nothing"/>
      <w:lvlText w:val="(%1)"/>
      <w:lvlJc w:val="left"/>
    </w:lvl>
  </w:abstractNum>
  <w:abstractNum w:abstractNumId="1436241132">
    <w:nsid w:val="559B4CEC"/>
    <w:multiLevelType w:val="singleLevel"/>
    <w:tmpl w:val="559B4CEC"/>
    <w:lvl w:ilvl="0" w:tentative="1">
      <w:start w:val="2"/>
      <w:numFmt w:val="decimal"/>
      <w:suff w:val="space"/>
      <w:lvlText w:val="(%1)"/>
      <w:lvlJc w:val="left"/>
    </w:lvl>
  </w:abstractNum>
  <w:abstractNum w:abstractNumId="1436336424">
    <w:nsid w:val="559CC128"/>
    <w:multiLevelType w:val="singleLevel"/>
    <w:tmpl w:val="559CC128"/>
    <w:lvl w:ilvl="0" w:tentative="1">
      <w:start w:val="1"/>
      <w:numFmt w:val="decimal"/>
      <w:suff w:val="space"/>
      <w:lvlText w:val="(%1)"/>
      <w:lvlJc w:val="left"/>
    </w:lvl>
  </w:abstractNum>
  <w:abstractNum w:abstractNumId="1437211460">
    <w:nsid w:val="55AA1B44"/>
    <w:multiLevelType w:val="singleLevel"/>
    <w:tmpl w:val="55AA1B44"/>
    <w:lvl w:ilvl="0" w:tentative="1">
      <w:start w:val="5"/>
      <w:numFmt w:val="chineseCounting"/>
      <w:suff w:val="nothing"/>
      <w:lvlText w:val="%1、"/>
      <w:lvlJc w:val="left"/>
    </w:lvl>
  </w:abstractNum>
  <w:abstractNum w:abstractNumId="1437271795">
    <w:nsid w:val="55AB06F3"/>
    <w:multiLevelType w:val="singleLevel"/>
    <w:tmpl w:val="55AB06F3"/>
    <w:lvl w:ilvl="0" w:tentative="1">
      <w:start w:val="1"/>
      <w:numFmt w:val="decimal"/>
      <w:suff w:val="space"/>
      <w:lvlText w:val="(%1)"/>
      <w:lvlJc w:val="left"/>
    </w:lvl>
  </w:abstractNum>
  <w:num w:numId="1">
    <w:abstractNumId w:val="1436241132"/>
  </w:num>
  <w:num w:numId="2">
    <w:abstractNumId w:val="1436336424"/>
  </w:num>
  <w:num w:numId="3">
    <w:abstractNumId w:val="1437271795"/>
  </w:num>
  <w:num w:numId="4">
    <w:abstractNumId w:val="1437211460"/>
  </w:num>
  <w:num w:numId="5">
    <w:abstractNumId w:val="14359071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B3560"/>
    <w:rsid w:val="00022C0A"/>
    <w:rsid w:val="00024792"/>
    <w:rsid w:val="00057E16"/>
    <w:rsid w:val="000836F6"/>
    <w:rsid w:val="000F71DD"/>
    <w:rsid w:val="00144F09"/>
    <w:rsid w:val="001956A8"/>
    <w:rsid w:val="001A0145"/>
    <w:rsid w:val="001B5EEA"/>
    <w:rsid w:val="00204316"/>
    <w:rsid w:val="002049B1"/>
    <w:rsid w:val="002931DB"/>
    <w:rsid w:val="002E4A8A"/>
    <w:rsid w:val="0038308B"/>
    <w:rsid w:val="003B2825"/>
    <w:rsid w:val="003B3560"/>
    <w:rsid w:val="003E1D1F"/>
    <w:rsid w:val="004517D9"/>
    <w:rsid w:val="00523417"/>
    <w:rsid w:val="00641931"/>
    <w:rsid w:val="00757314"/>
    <w:rsid w:val="007B3225"/>
    <w:rsid w:val="007C5B16"/>
    <w:rsid w:val="007D1617"/>
    <w:rsid w:val="007F2CE4"/>
    <w:rsid w:val="007F6FB5"/>
    <w:rsid w:val="00896543"/>
    <w:rsid w:val="00897072"/>
    <w:rsid w:val="008A78F7"/>
    <w:rsid w:val="0090138F"/>
    <w:rsid w:val="00916480"/>
    <w:rsid w:val="009378C9"/>
    <w:rsid w:val="009676B6"/>
    <w:rsid w:val="009B4544"/>
    <w:rsid w:val="00A63C9B"/>
    <w:rsid w:val="00A7330E"/>
    <w:rsid w:val="00A81E4F"/>
    <w:rsid w:val="00BB00B5"/>
    <w:rsid w:val="00C7130D"/>
    <w:rsid w:val="00C87298"/>
    <w:rsid w:val="00D0749D"/>
    <w:rsid w:val="00D11150"/>
    <w:rsid w:val="00D50222"/>
    <w:rsid w:val="00E56833"/>
    <w:rsid w:val="00FA0148"/>
    <w:rsid w:val="00FD7456"/>
    <w:rsid w:val="01582BC2"/>
    <w:rsid w:val="01F0403A"/>
    <w:rsid w:val="028710B6"/>
    <w:rsid w:val="051E41F2"/>
    <w:rsid w:val="06FC3783"/>
    <w:rsid w:val="072C734B"/>
    <w:rsid w:val="07EB560A"/>
    <w:rsid w:val="08377C87"/>
    <w:rsid w:val="08AE3149"/>
    <w:rsid w:val="09043B58"/>
    <w:rsid w:val="097D251D"/>
    <w:rsid w:val="0A4038E0"/>
    <w:rsid w:val="0C89471E"/>
    <w:rsid w:val="0C981E8D"/>
    <w:rsid w:val="0CE77ACD"/>
    <w:rsid w:val="0CF74D52"/>
    <w:rsid w:val="0D8301BA"/>
    <w:rsid w:val="0D8D654B"/>
    <w:rsid w:val="0E6C736A"/>
    <w:rsid w:val="0F565B36"/>
    <w:rsid w:val="0FE30C1D"/>
    <w:rsid w:val="10254F0A"/>
    <w:rsid w:val="114917E9"/>
    <w:rsid w:val="12017413"/>
    <w:rsid w:val="137E1789"/>
    <w:rsid w:val="155B1FAE"/>
    <w:rsid w:val="15B21729"/>
    <w:rsid w:val="1696199B"/>
    <w:rsid w:val="18E0605D"/>
    <w:rsid w:val="19BA37C2"/>
    <w:rsid w:val="1A1D24C4"/>
    <w:rsid w:val="1AA85649"/>
    <w:rsid w:val="1B9C5B8F"/>
    <w:rsid w:val="1BD62AC1"/>
    <w:rsid w:val="1C3A255C"/>
    <w:rsid w:val="1C502501"/>
    <w:rsid w:val="1CC659C3"/>
    <w:rsid w:val="1E4D4545"/>
    <w:rsid w:val="1F073974"/>
    <w:rsid w:val="1F730AA4"/>
    <w:rsid w:val="21A17852"/>
    <w:rsid w:val="22E24F49"/>
    <w:rsid w:val="23B00E19"/>
    <w:rsid w:val="23D16DD0"/>
    <w:rsid w:val="24267B5E"/>
    <w:rsid w:val="249F6523"/>
    <w:rsid w:val="24E06F8D"/>
    <w:rsid w:val="25A34ACC"/>
    <w:rsid w:val="26675B0F"/>
    <w:rsid w:val="26723EA0"/>
    <w:rsid w:val="26FF6F87"/>
    <w:rsid w:val="2907735C"/>
    <w:rsid w:val="2A994270"/>
    <w:rsid w:val="2AAB2DC7"/>
    <w:rsid w:val="2B3C72FC"/>
    <w:rsid w:val="2CD825A0"/>
    <w:rsid w:val="2DC74427"/>
    <w:rsid w:val="2E334DDB"/>
    <w:rsid w:val="2E9637FB"/>
    <w:rsid w:val="2F386C07"/>
    <w:rsid w:val="2F6376CB"/>
    <w:rsid w:val="2F6E12E0"/>
    <w:rsid w:val="32E93B15"/>
    <w:rsid w:val="32F31EA6"/>
    <w:rsid w:val="33D47D4F"/>
    <w:rsid w:val="342E2B27"/>
    <w:rsid w:val="34D15BB4"/>
    <w:rsid w:val="366D0E58"/>
    <w:rsid w:val="36F33AD9"/>
    <w:rsid w:val="38604B0B"/>
    <w:rsid w:val="39DF4107"/>
    <w:rsid w:val="3AEB54BA"/>
    <w:rsid w:val="3B3742B4"/>
    <w:rsid w:val="3CC911C7"/>
    <w:rsid w:val="3D153845"/>
    <w:rsid w:val="3D61263F"/>
    <w:rsid w:val="41321107"/>
    <w:rsid w:val="418178B0"/>
    <w:rsid w:val="41C0096A"/>
    <w:rsid w:val="43F4090A"/>
    <w:rsid w:val="44970113"/>
    <w:rsid w:val="458573E9"/>
    <w:rsid w:val="45B11EE5"/>
    <w:rsid w:val="4826706B"/>
    <w:rsid w:val="494C6E4D"/>
    <w:rsid w:val="4A192D1E"/>
    <w:rsid w:val="4AC7413B"/>
    <w:rsid w:val="4B1E4B4A"/>
    <w:rsid w:val="4DB33889"/>
    <w:rsid w:val="4DF542F3"/>
    <w:rsid w:val="4F252466"/>
    <w:rsid w:val="507E7AE6"/>
    <w:rsid w:val="51A61200"/>
    <w:rsid w:val="51B67868"/>
    <w:rsid w:val="51E754ED"/>
    <w:rsid w:val="525B3529"/>
    <w:rsid w:val="527F6965"/>
    <w:rsid w:val="53D654FE"/>
    <w:rsid w:val="53F058C2"/>
    <w:rsid w:val="54BD5016"/>
    <w:rsid w:val="54DE7749"/>
    <w:rsid w:val="553539DB"/>
    <w:rsid w:val="567B29ED"/>
    <w:rsid w:val="572272CE"/>
    <w:rsid w:val="576A2779"/>
    <w:rsid w:val="57DA1D5C"/>
    <w:rsid w:val="58AE5DA8"/>
    <w:rsid w:val="58AF298D"/>
    <w:rsid w:val="58C52932"/>
    <w:rsid w:val="59E00B01"/>
    <w:rsid w:val="5A495A5B"/>
    <w:rsid w:val="5A6C3F68"/>
    <w:rsid w:val="5DC60467"/>
    <w:rsid w:val="5EB522EE"/>
    <w:rsid w:val="5F16108D"/>
    <w:rsid w:val="60510E15"/>
    <w:rsid w:val="60733548"/>
    <w:rsid w:val="61402C9C"/>
    <w:rsid w:val="62441245"/>
    <w:rsid w:val="6270558C"/>
    <w:rsid w:val="63E044E9"/>
    <w:rsid w:val="64426B0C"/>
    <w:rsid w:val="68754EED"/>
    <w:rsid w:val="6AAF5553"/>
    <w:rsid w:val="6B0B3C2C"/>
    <w:rsid w:val="6CBD6E76"/>
    <w:rsid w:val="6CDB1CD2"/>
    <w:rsid w:val="6D6A4A10"/>
    <w:rsid w:val="6DF87AF7"/>
    <w:rsid w:val="6F1218C9"/>
    <w:rsid w:val="76E21067"/>
    <w:rsid w:val="7AFC2853"/>
    <w:rsid w:val="7BFB05C0"/>
    <w:rsid w:val="7D1144BC"/>
    <w:rsid w:val="7D260BD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754</Words>
  <Characters>4298</Characters>
  <Lines>35</Lines>
  <Paragraphs>10</Paragraphs>
  <ScaleCrop>false</ScaleCrop>
  <LinksUpToDate>false</LinksUpToDate>
  <CharactersWithSpaces>0</CharactersWithSpaces>
  <Application>WPS Office_9.1.0.5132_F1E327BC-269C-435d-A152-05C5408002CA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2013-05-04T05:37:00Z</dcterms:created>
  <dc:creator>User</dc:creator>
  <cp:lastModifiedBy>Administrator</cp:lastModifiedBy>
  <dcterms:modified xsi:type="dcterms:W3CDTF">2015-07-19T04:46:16Z</dcterms:modified>
  <dc:title>管理学科 工商管理类</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